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416C" w:rsidRPr="00EF6D22" w:rsidRDefault="00A5416C" w:rsidP="00A5416C">
      <w:pPr>
        <w:ind w:left="1843" w:right="1983"/>
        <w:jc w:val="both"/>
        <w:rPr>
          <w:rFonts w:ascii="Tahoma" w:hAnsi="Tahoma" w:cs="Tahoma"/>
          <w:i/>
          <w:sz w:val="22"/>
          <w:szCs w:val="22"/>
        </w:rPr>
      </w:pPr>
      <w:r w:rsidRPr="00EF6D22">
        <w:rPr>
          <w:rFonts w:ascii="Tahoma" w:hAnsi="Tahoma" w:cs="Tahoma"/>
          <w:b/>
          <w:i/>
          <w:sz w:val="22"/>
          <w:szCs w:val="22"/>
        </w:rPr>
        <w:t>Sumilla   :</w:t>
      </w:r>
      <w:r w:rsidRPr="00EF6D22">
        <w:rPr>
          <w:rFonts w:ascii="Tahoma" w:hAnsi="Tahoma" w:cs="Tahoma"/>
          <w:i/>
          <w:sz w:val="22"/>
          <w:szCs w:val="22"/>
        </w:rPr>
        <w:t xml:space="preserve"> </w:t>
      </w:r>
      <w:r w:rsidRPr="00EF6D22">
        <w:rPr>
          <w:rFonts w:ascii="Tahoma" w:hAnsi="Tahoma" w:cs="Tahoma"/>
          <w:i/>
          <w:sz w:val="22"/>
          <w:szCs w:val="22"/>
        </w:rPr>
        <w:tab/>
        <w:t>“Es pasible de sanción el postor que presenta documentos falsos a la Entidad, entendiéndose por tales aquellos que no hayan sido expedidos por su emisor o que, siendo válidamente emitidos, hayan sido adulterados en su forma o contenido, independientemente de quién haya sido su autor o de las circunstancias que condujeron a su falsificación.”</w:t>
      </w:r>
    </w:p>
    <w:p w:rsidR="00A5416C" w:rsidRPr="00EF6D22" w:rsidRDefault="00A5416C" w:rsidP="00A5416C">
      <w:pPr>
        <w:pStyle w:val="Textoindependiente3"/>
        <w:spacing w:after="0"/>
        <w:rPr>
          <w:rFonts w:ascii="Tahoma" w:hAnsi="Tahoma" w:cs="Tahoma"/>
          <w:i/>
          <w:sz w:val="22"/>
          <w:szCs w:val="22"/>
          <w:lang w:val="es-ES"/>
        </w:rPr>
      </w:pPr>
    </w:p>
    <w:p w:rsidR="00A5416C" w:rsidRPr="00EF6D22" w:rsidRDefault="00A5416C" w:rsidP="00A5416C">
      <w:pPr>
        <w:pStyle w:val="Textoindependiente3"/>
        <w:spacing w:after="0"/>
        <w:ind w:left="5387"/>
        <w:jc w:val="both"/>
        <w:rPr>
          <w:rFonts w:ascii="Tahoma" w:hAnsi="Tahoma" w:cs="Tahoma"/>
          <w:b/>
          <w:sz w:val="22"/>
          <w:szCs w:val="22"/>
        </w:rPr>
      </w:pPr>
      <w:r w:rsidRPr="00EF6D22">
        <w:rPr>
          <w:rFonts w:ascii="Tahoma" w:hAnsi="Tahoma" w:cs="Tahoma"/>
          <w:b/>
          <w:sz w:val="22"/>
          <w:szCs w:val="22"/>
        </w:rPr>
        <w:t>Lima,</w:t>
      </w:r>
      <w:r w:rsidR="002E06BD">
        <w:rPr>
          <w:rFonts w:ascii="Tahoma" w:hAnsi="Tahoma" w:cs="Tahoma"/>
          <w:b/>
          <w:sz w:val="22"/>
          <w:szCs w:val="22"/>
        </w:rPr>
        <w:t xml:space="preserve"> 20 de Mayo de 2011</w:t>
      </w:r>
    </w:p>
    <w:p w:rsidR="00A5416C" w:rsidRPr="00EF6D22" w:rsidRDefault="00A5416C" w:rsidP="00A5416C">
      <w:pPr>
        <w:pStyle w:val="Textoindependiente3"/>
        <w:spacing w:after="0"/>
        <w:ind w:left="5387"/>
        <w:jc w:val="both"/>
        <w:rPr>
          <w:rFonts w:ascii="Tahoma" w:hAnsi="Tahoma" w:cs="Tahoma"/>
          <w:b/>
          <w:sz w:val="22"/>
          <w:szCs w:val="22"/>
        </w:rPr>
      </w:pPr>
    </w:p>
    <w:p w:rsidR="00A5416C" w:rsidRDefault="00A5416C" w:rsidP="00A5416C">
      <w:pPr>
        <w:ind w:firstLine="567"/>
        <w:contextualSpacing/>
        <w:jc w:val="both"/>
        <w:rPr>
          <w:rFonts w:ascii="Tahoma" w:hAnsi="Tahoma" w:cs="Tahoma"/>
          <w:sz w:val="22"/>
          <w:szCs w:val="22"/>
        </w:rPr>
      </w:pPr>
      <w:r w:rsidRPr="00EF6D22">
        <w:rPr>
          <w:rFonts w:ascii="Tahoma" w:hAnsi="Tahoma" w:cs="Tahoma"/>
          <w:b/>
          <w:sz w:val="22"/>
          <w:szCs w:val="22"/>
        </w:rPr>
        <w:t xml:space="preserve">Visto </w:t>
      </w:r>
      <w:r>
        <w:rPr>
          <w:rFonts w:ascii="Tahoma" w:hAnsi="Tahoma" w:cs="Tahoma"/>
          <w:sz w:val="22"/>
          <w:szCs w:val="22"/>
        </w:rPr>
        <w:t>en sesión de fecha 18 de mayo de 2011</w:t>
      </w:r>
      <w:r w:rsidRPr="00EF6D22">
        <w:rPr>
          <w:rFonts w:ascii="Tahoma" w:hAnsi="Tahoma" w:cs="Tahoma"/>
          <w:sz w:val="22"/>
          <w:szCs w:val="22"/>
        </w:rPr>
        <w:t xml:space="preserve"> la Primera Sala del Tribunal de Contrataciones </w:t>
      </w:r>
      <w:r>
        <w:rPr>
          <w:rFonts w:ascii="Tahoma" w:hAnsi="Tahoma" w:cs="Tahoma"/>
          <w:sz w:val="22"/>
          <w:szCs w:val="22"/>
        </w:rPr>
        <w:t>del Estado el Expediente N° 1132.2010</w:t>
      </w:r>
      <w:r w:rsidRPr="00EF6D22">
        <w:rPr>
          <w:rFonts w:ascii="Tahoma" w:hAnsi="Tahoma" w:cs="Tahoma"/>
          <w:sz w:val="22"/>
          <w:szCs w:val="22"/>
        </w:rPr>
        <w:t xml:space="preserve">-TC; sobre el procedimiento administrativo sancionador iniciado contra </w:t>
      </w:r>
      <w:r>
        <w:rPr>
          <w:rFonts w:ascii="Tahoma" w:hAnsi="Tahoma" w:cs="Tahoma"/>
          <w:sz w:val="22"/>
          <w:szCs w:val="22"/>
        </w:rPr>
        <w:t xml:space="preserve">el </w:t>
      </w:r>
      <w:r w:rsidRPr="00006F97">
        <w:rPr>
          <w:rFonts w:ascii="Tahoma" w:hAnsi="Tahoma" w:cs="Tahoma"/>
          <w:sz w:val="22"/>
          <w:szCs w:val="22"/>
        </w:rPr>
        <w:t>CONSORCIO INTEGRADO POR LAS EMPRESAS LOGISTIC E.I.R.L. Y DISTRIBUCIONES DEL SUR E.I.R.L.</w:t>
      </w:r>
      <w:r>
        <w:rPr>
          <w:rFonts w:ascii="Tahoma" w:hAnsi="Tahoma" w:cs="Tahoma"/>
          <w:sz w:val="22"/>
          <w:szCs w:val="22"/>
        </w:rPr>
        <w:t>,</w:t>
      </w:r>
      <w:r>
        <w:rPr>
          <w:rFonts w:ascii="Tahoma" w:eastAsia="MS Mincho" w:hAnsi="Tahoma" w:cs="Tahoma"/>
          <w:sz w:val="22"/>
          <w:szCs w:val="22"/>
        </w:rPr>
        <w:t xml:space="preserve"> </w:t>
      </w:r>
      <w:r>
        <w:rPr>
          <w:rFonts w:ascii="Tahoma" w:hAnsi="Tahoma" w:cs="Tahoma"/>
          <w:sz w:val="22"/>
          <w:szCs w:val="22"/>
        </w:rPr>
        <w:t>por su supuesta responsabilidad al haber pr</w:t>
      </w:r>
      <w:r w:rsidRPr="006F12B4">
        <w:rPr>
          <w:rFonts w:ascii="Tahoma" w:hAnsi="Tahoma" w:cs="Tahoma"/>
          <w:sz w:val="22"/>
          <w:szCs w:val="22"/>
        </w:rPr>
        <w:t xml:space="preserve">esentado documentos falsos o inexactos </w:t>
      </w:r>
      <w:r>
        <w:rPr>
          <w:rFonts w:ascii="Tahoma" w:hAnsi="Tahoma" w:cs="Tahoma"/>
          <w:sz w:val="22"/>
          <w:szCs w:val="22"/>
        </w:rPr>
        <w:t xml:space="preserve">en </w:t>
      </w:r>
      <w:r w:rsidRPr="00D6786D">
        <w:rPr>
          <w:rFonts w:ascii="Tahoma" w:hAnsi="Tahoma" w:cs="Tahoma"/>
          <w:sz w:val="22"/>
          <w:szCs w:val="22"/>
        </w:rPr>
        <w:t xml:space="preserve">la </w:t>
      </w:r>
      <w:r>
        <w:rPr>
          <w:rFonts w:ascii="Tahoma" w:hAnsi="Tahoma" w:cs="Tahoma"/>
          <w:sz w:val="22"/>
          <w:szCs w:val="22"/>
        </w:rPr>
        <w:t>Adjudicación de Menor Cuantía AMC Nº 016-2010-GRA-SEDE CENTRAL (Primera Convocatoria).</w:t>
      </w:r>
    </w:p>
    <w:p w:rsidR="00A5416C" w:rsidRPr="00EF6D22" w:rsidRDefault="00A5416C" w:rsidP="00A5416C">
      <w:pPr>
        <w:ind w:firstLine="567"/>
        <w:contextualSpacing/>
        <w:jc w:val="both"/>
        <w:rPr>
          <w:rFonts w:ascii="Tahoma" w:hAnsi="Tahoma" w:cs="Tahoma"/>
          <w:b/>
          <w:sz w:val="22"/>
          <w:szCs w:val="22"/>
          <w:lang w:val="es-ES_tradnl"/>
        </w:rPr>
      </w:pPr>
    </w:p>
    <w:p w:rsidR="00A5416C" w:rsidRPr="00EF6D22" w:rsidRDefault="00A5416C" w:rsidP="00A5416C">
      <w:pPr>
        <w:pStyle w:val="Prrafodelista"/>
        <w:numPr>
          <w:ilvl w:val="0"/>
          <w:numId w:val="1"/>
        </w:numPr>
        <w:ind w:left="567" w:hanging="425"/>
        <w:rPr>
          <w:rFonts w:ascii="Tahoma" w:hAnsi="Tahoma" w:cs="Tahoma"/>
          <w:b/>
          <w:sz w:val="22"/>
          <w:szCs w:val="22"/>
        </w:rPr>
      </w:pPr>
      <w:r w:rsidRPr="00EF6D22">
        <w:rPr>
          <w:rFonts w:ascii="Tahoma" w:hAnsi="Tahoma" w:cs="Tahoma"/>
          <w:b/>
          <w:sz w:val="22"/>
          <w:szCs w:val="22"/>
        </w:rPr>
        <w:t>ANTECEDENTES:</w:t>
      </w:r>
    </w:p>
    <w:p w:rsidR="00A5416C" w:rsidRPr="00EF6D22" w:rsidRDefault="00A5416C" w:rsidP="00A5416C">
      <w:pPr>
        <w:jc w:val="both"/>
        <w:rPr>
          <w:rFonts w:ascii="Tahoma" w:hAnsi="Tahoma" w:cs="Tahoma"/>
          <w:b/>
          <w:sz w:val="22"/>
          <w:szCs w:val="22"/>
          <w:lang w:eastAsia="es-PE"/>
        </w:rPr>
      </w:pPr>
    </w:p>
    <w:p w:rsidR="00A5416C" w:rsidRDefault="00A5416C" w:rsidP="00A5416C">
      <w:pPr>
        <w:pStyle w:val="Sangradetextonormal"/>
        <w:numPr>
          <w:ilvl w:val="0"/>
          <w:numId w:val="5"/>
        </w:numPr>
        <w:spacing w:after="0"/>
        <w:ind w:left="567" w:right="-1" w:hanging="567"/>
        <w:jc w:val="both"/>
        <w:rPr>
          <w:rFonts w:ascii="Tahoma" w:hAnsi="Tahoma" w:cs="Tahoma"/>
          <w:sz w:val="22"/>
          <w:szCs w:val="22"/>
        </w:rPr>
      </w:pPr>
      <w:r>
        <w:rPr>
          <w:rFonts w:ascii="Tahoma" w:hAnsi="Tahoma" w:cs="Tahoma"/>
          <w:sz w:val="22"/>
          <w:szCs w:val="22"/>
        </w:rPr>
        <w:t>El 7 de abril de 2010, el</w:t>
      </w:r>
      <w:r w:rsidRPr="00D6786D">
        <w:rPr>
          <w:rFonts w:ascii="Tahoma" w:hAnsi="Tahoma" w:cs="Tahoma"/>
          <w:sz w:val="22"/>
          <w:szCs w:val="22"/>
        </w:rPr>
        <w:t xml:space="preserve"> </w:t>
      </w:r>
      <w:r w:rsidRPr="002F0013">
        <w:rPr>
          <w:rFonts w:ascii="Tahoma" w:hAnsi="Tahoma" w:cs="Tahoma"/>
          <w:sz w:val="22"/>
          <w:szCs w:val="22"/>
        </w:rPr>
        <w:t>GOBIERNO REGIONAL DE AYACUCHO – SEDE CENTRAL</w:t>
      </w:r>
      <w:r w:rsidRPr="00D6786D">
        <w:rPr>
          <w:rFonts w:ascii="Tahoma" w:hAnsi="Tahoma" w:cs="Tahoma"/>
          <w:sz w:val="22"/>
          <w:szCs w:val="22"/>
        </w:rPr>
        <w:t xml:space="preserve">, en adelante la Entidad, convocó la </w:t>
      </w:r>
      <w:r>
        <w:rPr>
          <w:rFonts w:ascii="Tahoma" w:hAnsi="Tahoma" w:cs="Tahoma"/>
          <w:sz w:val="22"/>
          <w:szCs w:val="22"/>
        </w:rPr>
        <w:t>Adjudicación de Menor Cuantía AMC Nº 016-2010-GRA-SEDE CENTRAL (Primera Convocatoria)</w:t>
      </w:r>
      <w:r w:rsidRPr="00D6786D">
        <w:rPr>
          <w:rFonts w:ascii="Tahoma" w:hAnsi="Tahoma" w:cs="Tahoma"/>
          <w:sz w:val="22"/>
          <w:szCs w:val="22"/>
        </w:rPr>
        <w:t xml:space="preserve"> para la </w:t>
      </w:r>
      <w:r>
        <w:rPr>
          <w:rFonts w:ascii="Tahoma" w:hAnsi="Tahoma" w:cs="Tahoma"/>
          <w:sz w:val="22"/>
          <w:szCs w:val="22"/>
        </w:rPr>
        <w:t>“Adquisición de Piedra Chancada de ½ y Piedra 8” Meta: Sustitución de Infraestructura de la Institución Educativa Pública Agropecuaria Integrada – Mariscal Guillermo Millar de Acosvinchos” por</w:t>
      </w:r>
      <w:r w:rsidRPr="00D6786D">
        <w:rPr>
          <w:rFonts w:ascii="Tahoma" w:hAnsi="Tahoma" w:cs="Tahoma"/>
          <w:sz w:val="22"/>
          <w:szCs w:val="22"/>
        </w:rPr>
        <w:t xml:space="preserve"> un valor referencial total ascendente a la suma de S/. </w:t>
      </w:r>
      <w:r>
        <w:rPr>
          <w:rFonts w:ascii="Tahoma" w:hAnsi="Tahoma" w:cs="Tahoma"/>
          <w:sz w:val="22"/>
          <w:szCs w:val="22"/>
        </w:rPr>
        <w:t>36, 155.00</w:t>
      </w:r>
      <w:r w:rsidRPr="00D6786D">
        <w:rPr>
          <w:rFonts w:ascii="Tahoma" w:hAnsi="Tahoma" w:cs="Tahoma"/>
          <w:sz w:val="22"/>
          <w:szCs w:val="22"/>
        </w:rPr>
        <w:t xml:space="preserve"> (</w:t>
      </w:r>
      <w:r>
        <w:rPr>
          <w:rFonts w:ascii="Tahoma" w:hAnsi="Tahoma" w:cs="Tahoma"/>
          <w:sz w:val="22"/>
          <w:szCs w:val="22"/>
        </w:rPr>
        <w:t>Treinta y seis mil ciento cincuenta y cinco con 00/100 Nuevos Soles</w:t>
      </w:r>
      <w:r w:rsidRPr="00D6786D">
        <w:rPr>
          <w:rFonts w:ascii="Tahoma" w:hAnsi="Tahoma" w:cs="Tahoma"/>
          <w:sz w:val="22"/>
          <w:szCs w:val="22"/>
        </w:rPr>
        <w:t>)</w:t>
      </w:r>
      <w:r>
        <w:rPr>
          <w:rFonts w:ascii="Tahoma" w:hAnsi="Tahoma" w:cs="Tahoma"/>
          <w:sz w:val="22"/>
          <w:szCs w:val="22"/>
        </w:rPr>
        <w:t>.</w:t>
      </w:r>
    </w:p>
    <w:p w:rsidR="00A5416C" w:rsidRDefault="00A5416C" w:rsidP="00A5416C">
      <w:pPr>
        <w:pStyle w:val="Sangradetextonormal"/>
        <w:spacing w:after="0"/>
        <w:ind w:left="567" w:right="-1"/>
        <w:jc w:val="both"/>
        <w:rPr>
          <w:rFonts w:ascii="Tahoma" w:hAnsi="Tahoma" w:cs="Tahoma"/>
          <w:sz w:val="22"/>
          <w:szCs w:val="22"/>
        </w:rPr>
      </w:pPr>
    </w:p>
    <w:p w:rsidR="00A5416C" w:rsidRDefault="00A5416C" w:rsidP="00A5416C">
      <w:pPr>
        <w:pStyle w:val="Sangradetextonormal"/>
        <w:numPr>
          <w:ilvl w:val="0"/>
          <w:numId w:val="5"/>
        </w:numPr>
        <w:spacing w:after="0"/>
        <w:ind w:left="567" w:right="-1" w:hanging="567"/>
        <w:jc w:val="both"/>
        <w:rPr>
          <w:rFonts w:ascii="Tahoma" w:hAnsi="Tahoma" w:cs="Tahoma"/>
          <w:sz w:val="22"/>
          <w:szCs w:val="22"/>
        </w:rPr>
      </w:pPr>
      <w:r w:rsidRPr="00006F97">
        <w:rPr>
          <w:rFonts w:ascii="Tahoma" w:hAnsi="Tahoma" w:cs="Tahoma"/>
          <w:sz w:val="22"/>
          <w:szCs w:val="22"/>
        </w:rPr>
        <w:t>Con fecha 09 de abril del 2010 se llevó a cabo el acto de presentación de propuestas, calificación y evaluación de dichas propuestas y otorgamiento de la Buena Pro, la cual fue adjudicada a favor del CONSORCIO INTEGRADO POR LAS EMPRESAS LOGISTIC E.I.R.L. Y DISTRIBUCIONES DEL SUR E.I.R.L., en adelante el Consorcio.</w:t>
      </w:r>
    </w:p>
    <w:p w:rsidR="00A5416C" w:rsidRDefault="00A5416C" w:rsidP="00A5416C">
      <w:pPr>
        <w:pStyle w:val="Prrafodelista"/>
        <w:rPr>
          <w:rFonts w:ascii="Tahoma" w:hAnsi="Tahoma" w:cs="Tahoma"/>
          <w:sz w:val="22"/>
          <w:szCs w:val="22"/>
        </w:rPr>
      </w:pPr>
    </w:p>
    <w:p w:rsidR="00A5416C" w:rsidRDefault="00A5416C" w:rsidP="00A5416C">
      <w:pPr>
        <w:pStyle w:val="Sangradetextonormal"/>
        <w:numPr>
          <w:ilvl w:val="0"/>
          <w:numId w:val="5"/>
        </w:numPr>
        <w:spacing w:after="0"/>
        <w:ind w:left="567" w:right="-1" w:hanging="567"/>
        <w:jc w:val="both"/>
        <w:rPr>
          <w:rFonts w:ascii="Tahoma" w:hAnsi="Tahoma" w:cs="Tahoma"/>
          <w:sz w:val="22"/>
          <w:szCs w:val="22"/>
        </w:rPr>
      </w:pPr>
      <w:r>
        <w:rPr>
          <w:rFonts w:ascii="Tahoma" w:hAnsi="Tahoma" w:cs="Tahoma"/>
          <w:sz w:val="22"/>
          <w:szCs w:val="22"/>
        </w:rPr>
        <w:t>A través de la Resolución Gerencial General Regional Nº 0162-2010-GRA/PRES-GG de fecha 10 de mayo del 2010, en virtud al recurso impugnativo presentado por el CONSORCIO CROPER CHALPON, se dispuso, entre otros, revocar el otorgamiento de la Buena Pro</w:t>
      </w:r>
      <w:r w:rsidRPr="006737EF">
        <w:rPr>
          <w:rFonts w:ascii="Tahoma" w:hAnsi="Tahoma" w:cs="Tahoma"/>
          <w:sz w:val="22"/>
          <w:szCs w:val="22"/>
        </w:rPr>
        <w:t xml:space="preserve"> </w:t>
      </w:r>
      <w:r>
        <w:rPr>
          <w:rFonts w:ascii="Tahoma" w:hAnsi="Tahoma" w:cs="Tahoma"/>
          <w:sz w:val="22"/>
          <w:szCs w:val="22"/>
        </w:rPr>
        <w:t>del proceso de selección</w:t>
      </w:r>
      <w:r w:rsidRPr="00D6786D">
        <w:rPr>
          <w:rFonts w:ascii="Tahoma" w:hAnsi="Tahoma" w:cs="Tahoma"/>
          <w:sz w:val="22"/>
          <w:szCs w:val="22"/>
        </w:rPr>
        <w:t xml:space="preserve"> </w:t>
      </w:r>
      <w:r>
        <w:rPr>
          <w:rFonts w:ascii="Tahoma" w:hAnsi="Tahoma" w:cs="Tahoma"/>
          <w:sz w:val="22"/>
          <w:szCs w:val="22"/>
        </w:rPr>
        <w:t>Adjudicación de Menor Cuantía AMC Nº 016-2010-GRA-SEDE CENTRAL (Primera Convocatoria) adjudicada al Consorcio y en su defecto otorgar la Buena Pro a El Impugnante, en razón a los siguiente fundamentos:</w:t>
      </w:r>
    </w:p>
    <w:p w:rsidR="00A5416C" w:rsidRPr="005B64C4" w:rsidRDefault="00A5416C" w:rsidP="00A5416C">
      <w:pPr>
        <w:rPr>
          <w:rFonts w:ascii="Tahoma" w:hAnsi="Tahoma" w:cs="Tahoma"/>
          <w:sz w:val="22"/>
          <w:szCs w:val="22"/>
        </w:rPr>
      </w:pPr>
    </w:p>
    <w:p w:rsidR="00A5416C" w:rsidRPr="008F54EE" w:rsidRDefault="00A5416C" w:rsidP="00A5416C">
      <w:pPr>
        <w:pStyle w:val="Sangradetextonormal"/>
        <w:spacing w:after="0"/>
        <w:ind w:left="852" w:right="-1" w:firstLine="141"/>
        <w:jc w:val="both"/>
        <w:rPr>
          <w:rFonts w:ascii="Tahoma" w:hAnsi="Tahoma" w:cs="Tahoma"/>
          <w:sz w:val="22"/>
          <w:szCs w:val="22"/>
        </w:rPr>
      </w:pPr>
      <w:r>
        <w:rPr>
          <w:rFonts w:ascii="Tahoma" w:hAnsi="Tahoma" w:cs="Tahoma"/>
          <w:sz w:val="22"/>
          <w:szCs w:val="22"/>
        </w:rPr>
        <w:t>(…)</w:t>
      </w:r>
    </w:p>
    <w:p w:rsidR="00A5416C" w:rsidRPr="00006F97" w:rsidRDefault="00A5416C" w:rsidP="00A5416C">
      <w:pPr>
        <w:pStyle w:val="Sangradetextonormal"/>
        <w:spacing w:after="0"/>
        <w:ind w:left="993" w:right="424"/>
        <w:jc w:val="both"/>
        <w:rPr>
          <w:rFonts w:ascii="Tahoma" w:hAnsi="Tahoma" w:cs="Tahoma"/>
          <w:sz w:val="22"/>
          <w:szCs w:val="22"/>
        </w:rPr>
      </w:pPr>
      <w:r w:rsidRPr="008F54EE">
        <w:rPr>
          <w:rFonts w:ascii="Tahoma" w:hAnsi="Tahoma" w:cs="Tahoma"/>
          <w:i/>
          <w:sz w:val="22"/>
          <w:szCs w:val="22"/>
        </w:rPr>
        <w:lastRenderedPageBreak/>
        <w:t>“Que, respecto al punto mencionado por El Impugnante de que el postor Consorcio Logistic EIRL – Distribuidores del Sur EIRL Habría presentado documentación falsa o inexacta, esta ha quedado debidamente demostrado con la copia literal emitida por la SUNARP de Lima y Callao, con el que se demuestra que en la propuesta técnica presentada respecto a los vehículos (Volquetes) con los que cuenta el Consorcio Logistic EIRL – Distribuciones del Sur EIRL. La documentación ha sido adulterada presentado información inexacta, la misma que es causal de de descalificación, por contravenir la Ley Nº 27444, Ley del Procedimiento Administrativo General (…)”</w:t>
      </w:r>
      <w:r>
        <w:rPr>
          <w:rFonts w:ascii="Tahoma" w:hAnsi="Tahoma" w:cs="Tahoma"/>
          <w:sz w:val="22"/>
          <w:szCs w:val="22"/>
        </w:rPr>
        <w:t xml:space="preserve"> (Sic) </w:t>
      </w:r>
    </w:p>
    <w:p w:rsidR="00A5416C" w:rsidRDefault="00A5416C" w:rsidP="00A5416C">
      <w:pPr>
        <w:pStyle w:val="Sangradetextonormal"/>
        <w:spacing w:after="0"/>
        <w:ind w:left="0" w:right="-1"/>
        <w:jc w:val="both"/>
        <w:rPr>
          <w:rFonts w:ascii="Tahoma" w:hAnsi="Tahoma" w:cs="Tahoma"/>
          <w:sz w:val="22"/>
          <w:szCs w:val="22"/>
        </w:rPr>
      </w:pPr>
    </w:p>
    <w:p w:rsidR="00A5416C" w:rsidRPr="001D0C2D" w:rsidRDefault="00A5416C" w:rsidP="00A5416C">
      <w:pPr>
        <w:pStyle w:val="Sangradetextonormal"/>
        <w:numPr>
          <w:ilvl w:val="0"/>
          <w:numId w:val="5"/>
        </w:numPr>
        <w:spacing w:after="0"/>
        <w:ind w:left="567" w:right="-1" w:hanging="567"/>
        <w:jc w:val="both"/>
        <w:rPr>
          <w:rFonts w:ascii="Tahoma" w:hAnsi="Tahoma" w:cs="Tahoma"/>
          <w:sz w:val="22"/>
          <w:szCs w:val="22"/>
        </w:rPr>
      </w:pPr>
      <w:r>
        <w:rPr>
          <w:rFonts w:ascii="Tahoma" w:hAnsi="Tahoma" w:cs="Tahoma"/>
          <w:sz w:val="22"/>
          <w:szCs w:val="22"/>
        </w:rPr>
        <w:t>Asimismo, mediante la Resolución Directoral Regional Nº 0021-2010-GRA/GG-ORADM de fecha 10 de junio del 2010 también se dispuso entre otros, revocar la adjudicación de la Buena Pro del proceso de selección</w:t>
      </w:r>
      <w:r w:rsidRPr="00D6786D">
        <w:rPr>
          <w:rFonts w:ascii="Tahoma" w:hAnsi="Tahoma" w:cs="Tahoma"/>
          <w:sz w:val="22"/>
          <w:szCs w:val="22"/>
        </w:rPr>
        <w:t xml:space="preserve"> </w:t>
      </w:r>
      <w:r>
        <w:rPr>
          <w:rFonts w:ascii="Tahoma" w:hAnsi="Tahoma" w:cs="Tahoma"/>
          <w:sz w:val="22"/>
          <w:szCs w:val="22"/>
        </w:rPr>
        <w:t>Adjudicación de Menor Cuantía AMC Nº 016-2010-GRA-SEDE CENTRAL (Primera Convocatoria), otorgada al Consorcio, por haber presentado documentación falsa y/o inexacta, bajo los siguientes argumentos:</w:t>
      </w:r>
    </w:p>
    <w:p w:rsidR="00A5416C" w:rsidRDefault="00A5416C" w:rsidP="00A5416C">
      <w:pPr>
        <w:pStyle w:val="Sangradetextonormal"/>
        <w:spacing w:after="0"/>
        <w:ind w:left="0" w:right="-1"/>
        <w:jc w:val="both"/>
        <w:rPr>
          <w:rFonts w:ascii="Tahoma" w:hAnsi="Tahoma" w:cs="Tahoma"/>
          <w:sz w:val="22"/>
          <w:szCs w:val="22"/>
        </w:rPr>
      </w:pPr>
    </w:p>
    <w:p w:rsidR="00A5416C" w:rsidRDefault="00A5416C" w:rsidP="00A5416C">
      <w:pPr>
        <w:pStyle w:val="Sangradetextonormal"/>
        <w:spacing w:after="0"/>
        <w:ind w:left="851" w:right="-1"/>
        <w:jc w:val="both"/>
        <w:rPr>
          <w:rFonts w:ascii="Tahoma" w:hAnsi="Tahoma" w:cs="Tahoma"/>
          <w:sz w:val="22"/>
          <w:szCs w:val="22"/>
        </w:rPr>
      </w:pPr>
      <w:r>
        <w:rPr>
          <w:rFonts w:ascii="Tahoma" w:hAnsi="Tahoma" w:cs="Tahoma"/>
          <w:sz w:val="22"/>
          <w:szCs w:val="22"/>
        </w:rPr>
        <w:t>(…)</w:t>
      </w:r>
    </w:p>
    <w:p w:rsidR="00A5416C" w:rsidRPr="00581138" w:rsidRDefault="00A5416C" w:rsidP="00A5416C">
      <w:pPr>
        <w:pStyle w:val="Sangradetextonormal"/>
        <w:spacing w:after="0"/>
        <w:ind w:left="851" w:right="282"/>
        <w:jc w:val="both"/>
        <w:rPr>
          <w:rFonts w:ascii="Tahoma" w:hAnsi="Tahoma" w:cs="Tahoma"/>
          <w:i/>
          <w:sz w:val="20"/>
          <w:szCs w:val="20"/>
        </w:rPr>
      </w:pPr>
      <w:r w:rsidRPr="00581138">
        <w:rPr>
          <w:rFonts w:ascii="Tahoma" w:hAnsi="Tahoma" w:cs="Tahoma"/>
          <w:i/>
          <w:sz w:val="20"/>
          <w:szCs w:val="20"/>
        </w:rPr>
        <w:t>Según las Bases Administrativas del Proceso, en el Capítulo IV Factores de Evaluación de Propuesta Técnica numeral 1.1 letra c) relacionado a la Capacidad y Operatividad de Transporte, en el que solicita contar con diversas maquinarias y de cie</w:t>
      </w:r>
      <w:r>
        <w:rPr>
          <w:rFonts w:ascii="Tahoma" w:hAnsi="Tahoma" w:cs="Tahoma"/>
          <w:i/>
          <w:sz w:val="20"/>
          <w:szCs w:val="20"/>
        </w:rPr>
        <w:t>n</w:t>
      </w:r>
      <w:r w:rsidRPr="00581138">
        <w:rPr>
          <w:rFonts w:ascii="Tahoma" w:hAnsi="Tahoma" w:cs="Tahoma"/>
          <w:i/>
          <w:sz w:val="20"/>
          <w:szCs w:val="20"/>
        </w:rPr>
        <w:t xml:space="preserve"> años de fabricación, otorgando el máximo puntaje de 25.00 puntos a las empresas que presenten vehículos del año 2000 a más.</w:t>
      </w:r>
    </w:p>
    <w:p w:rsidR="00A5416C" w:rsidRPr="00581138" w:rsidRDefault="00A5416C" w:rsidP="00A5416C">
      <w:pPr>
        <w:pStyle w:val="Sangradetextonormal"/>
        <w:spacing w:after="0"/>
        <w:ind w:left="851" w:right="282"/>
        <w:jc w:val="both"/>
        <w:rPr>
          <w:rFonts w:ascii="Tahoma" w:hAnsi="Tahoma" w:cs="Tahoma"/>
          <w:i/>
          <w:sz w:val="20"/>
          <w:szCs w:val="20"/>
        </w:rPr>
      </w:pPr>
    </w:p>
    <w:p w:rsidR="00A5416C" w:rsidRPr="00581138" w:rsidRDefault="00A5416C" w:rsidP="00A5416C">
      <w:pPr>
        <w:pStyle w:val="Sangradetextonormal"/>
        <w:spacing w:after="0"/>
        <w:ind w:left="851" w:right="282"/>
        <w:jc w:val="both"/>
        <w:rPr>
          <w:rFonts w:ascii="Tahoma" w:hAnsi="Tahoma" w:cs="Tahoma"/>
          <w:i/>
          <w:sz w:val="20"/>
          <w:szCs w:val="20"/>
        </w:rPr>
      </w:pPr>
      <w:r w:rsidRPr="00581138">
        <w:rPr>
          <w:rFonts w:ascii="Tahoma" w:hAnsi="Tahoma" w:cs="Tahoma"/>
          <w:i/>
          <w:sz w:val="20"/>
          <w:szCs w:val="20"/>
        </w:rPr>
        <w:t>Ante los requisitos establecidos en las bases, el Postor Consorcio Logistic EIRL – Distribuciones del Sur EIRL, en su propuesta técnica presenta documentos (tarjeta de propiedad) acreditando que sus vehículos en este caso volquetes de P</w:t>
      </w:r>
      <w:r>
        <w:rPr>
          <w:rFonts w:ascii="Tahoma" w:hAnsi="Tahoma" w:cs="Tahoma"/>
          <w:i/>
          <w:sz w:val="20"/>
          <w:szCs w:val="20"/>
        </w:rPr>
        <w:t>l</w:t>
      </w:r>
      <w:r w:rsidRPr="00581138">
        <w:rPr>
          <w:rFonts w:ascii="Tahoma" w:hAnsi="Tahoma" w:cs="Tahoma"/>
          <w:i/>
          <w:sz w:val="20"/>
          <w:szCs w:val="20"/>
        </w:rPr>
        <w:t>aca WG – 050 de Tarjeta Nº A2903362 y Placa XO – 2655 de Tarjeta Nº A2433273 son del año 2000, evidenciándose según Boleta Informativas de fecha 16 de abril 2010 de la SUNARP, que el año de fabricación es de 1995 y 1991, por lo que se concluye que el Consorcio Logistic E.I.R.L. – Distribuciones del Sur EIRL. Presentó documentación falsa y/o inexacta, al ser las copias fotostáticas de las tarjetas de propiedad de los vehículos modificados en el año de fabricación y en el caso del volquete placa WB-5816, adicionalmente se evidencia que el propietario es la empresa Solo Maquinarias SRL. y no así Logistic EIRL, según documentación de SUNARP”. (Sic)</w:t>
      </w:r>
    </w:p>
    <w:p w:rsidR="00A5416C" w:rsidRDefault="00A5416C" w:rsidP="00A5416C">
      <w:pPr>
        <w:pStyle w:val="Sangradetextonormal"/>
        <w:spacing w:after="0"/>
        <w:ind w:left="851" w:right="-1"/>
        <w:jc w:val="both"/>
        <w:rPr>
          <w:rFonts w:ascii="Tahoma" w:hAnsi="Tahoma" w:cs="Tahoma"/>
          <w:sz w:val="22"/>
          <w:szCs w:val="22"/>
        </w:rPr>
      </w:pPr>
      <w:r>
        <w:rPr>
          <w:rFonts w:ascii="Tahoma" w:hAnsi="Tahoma" w:cs="Tahoma"/>
          <w:sz w:val="22"/>
          <w:szCs w:val="22"/>
        </w:rPr>
        <w:t>(…)</w:t>
      </w:r>
    </w:p>
    <w:p w:rsidR="00A5416C" w:rsidRDefault="00A5416C" w:rsidP="00A5416C">
      <w:pPr>
        <w:pStyle w:val="Sangradetextonormal"/>
        <w:spacing w:after="0"/>
        <w:ind w:left="0" w:right="-1"/>
        <w:jc w:val="both"/>
        <w:rPr>
          <w:rFonts w:ascii="Tahoma" w:hAnsi="Tahoma" w:cs="Tahoma"/>
          <w:sz w:val="22"/>
          <w:szCs w:val="22"/>
        </w:rPr>
      </w:pPr>
    </w:p>
    <w:p w:rsidR="00A5416C" w:rsidRDefault="00A5416C" w:rsidP="00A5416C">
      <w:pPr>
        <w:pStyle w:val="Sangradetextonormal"/>
        <w:numPr>
          <w:ilvl w:val="0"/>
          <w:numId w:val="5"/>
        </w:numPr>
        <w:spacing w:after="0"/>
        <w:ind w:left="567" w:right="-1" w:hanging="567"/>
        <w:jc w:val="both"/>
        <w:rPr>
          <w:rFonts w:ascii="Tahoma" w:hAnsi="Tahoma" w:cs="Tahoma"/>
          <w:sz w:val="22"/>
          <w:szCs w:val="22"/>
        </w:rPr>
      </w:pPr>
      <w:r>
        <w:rPr>
          <w:rFonts w:ascii="Tahoma" w:hAnsi="Tahoma" w:cs="Tahoma"/>
          <w:sz w:val="22"/>
          <w:szCs w:val="22"/>
        </w:rPr>
        <w:t>A través del Oficio Nº 680-2010-GRA/PRES-GG presentado el 25 de agosto del 2010 y el Oficio Nº 689-2010-GRA/PRES-GG presentado el 27 de agosto del 2010, la Entidad comunicó a este Tribunal los hechos antes expuestos.</w:t>
      </w:r>
    </w:p>
    <w:p w:rsidR="00A5416C" w:rsidRDefault="00A5416C" w:rsidP="00A5416C">
      <w:pPr>
        <w:pStyle w:val="Prrafodelista"/>
        <w:rPr>
          <w:rFonts w:ascii="Tahoma" w:hAnsi="Tahoma" w:cs="Tahoma"/>
          <w:sz w:val="22"/>
          <w:szCs w:val="22"/>
        </w:rPr>
      </w:pPr>
    </w:p>
    <w:p w:rsidR="00A5416C" w:rsidRDefault="00A5416C" w:rsidP="00A5416C">
      <w:pPr>
        <w:pStyle w:val="Sangradetextonormal"/>
        <w:numPr>
          <w:ilvl w:val="0"/>
          <w:numId w:val="5"/>
        </w:numPr>
        <w:spacing w:after="0"/>
        <w:ind w:left="567" w:right="-1" w:hanging="567"/>
        <w:jc w:val="both"/>
        <w:rPr>
          <w:rFonts w:ascii="Tahoma" w:hAnsi="Tahoma" w:cs="Tahoma"/>
          <w:sz w:val="22"/>
          <w:szCs w:val="22"/>
        </w:rPr>
      </w:pPr>
      <w:r>
        <w:rPr>
          <w:rFonts w:ascii="Tahoma" w:hAnsi="Tahoma" w:cs="Tahoma"/>
          <w:sz w:val="22"/>
          <w:szCs w:val="22"/>
        </w:rPr>
        <w:t xml:space="preserve">Con decreto de fecha 02 de setiembre del 2010, se inicio procedimiento administrativo sancionador al Consorcio, por supuesta responsabilidad en la inclusión, como parte de su propuesta técnica, de las Tarjetas de Propiedad Nº </w:t>
      </w:r>
      <w:r>
        <w:rPr>
          <w:rFonts w:ascii="Tahoma" w:hAnsi="Tahoma" w:cs="Tahoma"/>
          <w:sz w:val="22"/>
          <w:szCs w:val="22"/>
        </w:rPr>
        <w:lastRenderedPageBreak/>
        <w:t>A2433273 y A2903362 correspondientes a los vehículos de Placas Nº XO – 2655 y WG – 050, documentos supuestamente falsos o inexactos, presentados en la Adjudicación de Menor Cuantía AMC Nº 016-2010-GRA-SEDE CENTRAL (Primera Convocatoria). Asimismo, se le otorgó a las empresas integrantes del Consorcio un plazo de diez días hábiles, a fin que cumplan con presentar sus descargos respecto a los hechos imputados.</w:t>
      </w:r>
    </w:p>
    <w:p w:rsidR="00A5416C" w:rsidRDefault="00A5416C" w:rsidP="00A5416C">
      <w:pPr>
        <w:pStyle w:val="Prrafodelista"/>
        <w:rPr>
          <w:rFonts w:ascii="Tahoma" w:hAnsi="Tahoma" w:cs="Tahoma"/>
          <w:sz w:val="22"/>
          <w:szCs w:val="22"/>
        </w:rPr>
      </w:pPr>
    </w:p>
    <w:p w:rsidR="00A5416C" w:rsidRDefault="00A5416C" w:rsidP="00A5416C">
      <w:pPr>
        <w:pStyle w:val="Sangradetextonormal"/>
        <w:numPr>
          <w:ilvl w:val="0"/>
          <w:numId w:val="5"/>
        </w:numPr>
        <w:spacing w:after="0"/>
        <w:ind w:left="567" w:right="-1" w:hanging="567"/>
        <w:jc w:val="both"/>
        <w:rPr>
          <w:rFonts w:ascii="Tahoma" w:hAnsi="Tahoma" w:cs="Tahoma"/>
          <w:sz w:val="22"/>
          <w:szCs w:val="22"/>
        </w:rPr>
      </w:pPr>
      <w:r>
        <w:rPr>
          <w:rFonts w:ascii="Tahoma" w:hAnsi="Tahoma" w:cs="Tahoma"/>
          <w:sz w:val="22"/>
          <w:szCs w:val="22"/>
        </w:rPr>
        <w:t>Mediante decreto de fecha 04 de febrero del 2011, se hizo efectivo el apercibimiento de resolver con la documentación obrante en autos, teniendo en consideración que las empresas integrantes del Consorcio no cumplieron con presentar sus descargos dentro del plazo otorgado.</w:t>
      </w:r>
    </w:p>
    <w:p w:rsidR="00A5416C" w:rsidRDefault="00A5416C" w:rsidP="00A5416C">
      <w:pPr>
        <w:pStyle w:val="Sangradetextonormal"/>
        <w:spacing w:after="0"/>
        <w:ind w:left="567" w:right="-1"/>
        <w:jc w:val="both"/>
        <w:rPr>
          <w:rFonts w:ascii="Tahoma" w:hAnsi="Tahoma" w:cs="Tahoma"/>
          <w:sz w:val="22"/>
          <w:szCs w:val="22"/>
        </w:rPr>
      </w:pPr>
    </w:p>
    <w:p w:rsidR="00A5416C" w:rsidRDefault="00A5416C" w:rsidP="00A5416C">
      <w:pPr>
        <w:pStyle w:val="Sangradetextonormal"/>
        <w:numPr>
          <w:ilvl w:val="0"/>
          <w:numId w:val="5"/>
        </w:numPr>
        <w:spacing w:after="0"/>
        <w:ind w:left="567" w:right="-1" w:hanging="567"/>
        <w:jc w:val="both"/>
        <w:rPr>
          <w:rFonts w:ascii="Tahoma" w:hAnsi="Tahoma" w:cs="Tahoma"/>
          <w:sz w:val="22"/>
          <w:szCs w:val="22"/>
        </w:rPr>
      </w:pPr>
      <w:r>
        <w:rPr>
          <w:rFonts w:ascii="Tahoma" w:hAnsi="Tahoma" w:cs="Tahoma"/>
          <w:sz w:val="22"/>
          <w:szCs w:val="22"/>
        </w:rPr>
        <w:t>A través del decreto de fecha 22 de marzo del 2010, se requirió información adicional a la Superintendencia Nacional de Registros Público – Oficina Registral de Lima y Callao, a fin que se pronuncie sobre la autenticidad del contenido de las Tarjetas de Propiedad Nº A2433273 y A2903362 correspondientes a los vehículo de Placas Nº XO-2655 y WGJ-050, en especial a los años de fabricación de dichos vehículos</w:t>
      </w:r>
    </w:p>
    <w:p w:rsidR="00A5416C" w:rsidRDefault="00A5416C" w:rsidP="00A5416C">
      <w:pPr>
        <w:pStyle w:val="Prrafodelista"/>
        <w:rPr>
          <w:rFonts w:ascii="Tahoma" w:hAnsi="Tahoma" w:cs="Tahoma"/>
          <w:sz w:val="22"/>
          <w:szCs w:val="22"/>
        </w:rPr>
      </w:pPr>
    </w:p>
    <w:p w:rsidR="00A5416C" w:rsidRDefault="00A5416C" w:rsidP="00A5416C">
      <w:pPr>
        <w:pStyle w:val="Sangradetextonormal"/>
        <w:numPr>
          <w:ilvl w:val="0"/>
          <w:numId w:val="5"/>
        </w:numPr>
        <w:spacing w:after="0"/>
        <w:ind w:left="567" w:right="-1" w:hanging="567"/>
        <w:jc w:val="both"/>
        <w:rPr>
          <w:rFonts w:ascii="Tahoma" w:hAnsi="Tahoma" w:cs="Tahoma"/>
          <w:sz w:val="22"/>
          <w:szCs w:val="22"/>
        </w:rPr>
      </w:pPr>
      <w:r>
        <w:rPr>
          <w:rFonts w:ascii="Tahoma" w:hAnsi="Tahoma" w:cs="Tahoma"/>
          <w:sz w:val="22"/>
          <w:szCs w:val="22"/>
        </w:rPr>
        <w:t>A través del Oficio Nº 745-2011-SUNARP-Z.R. Nº IX/GBM presentado el 26 de abril del 2011, la Superintendencia Nacional de los Registros Públicos – SUNARP, señaló lo siguiente:</w:t>
      </w:r>
    </w:p>
    <w:p w:rsidR="00A5416C" w:rsidRDefault="00A5416C" w:rsidP="00A5416C">
      <w:pPr>
        <w:pStyle w:val="Prrafodelista"/>
        <w:rPr>
          <w:rFonts w:ascii="Tahoma" w:hAnsi="Tahoma" w:cs="Tahoma"/>
          <w:sz w:val="22"/>
          <w:szCs w:val="22"/>
        </w:rPr>
      </w:pPr>
    </w:p>
    <w:p w:rsidR="00A5416C" w:rsidRDefault="00A5416C" w:rsidP="00A5416C">
      <w:pPr>
        <w:pStyle w:val="Prrafodelista"/>
        <w:ind w:left="851"/>
        <w:rPr>
          <w:rFonts w:ascii="Tahoma" w:hAnsi="Tahoma" w:cs="Tahoma"/>
          <w:sz w:val="22"/>
          <w:szCs w:val="22"/>
        </w:rPr>
      </w:pPr>
      <w:r>
        <w:rPr>
          <w:rFonts w:ascii="Tahoma" w:hAnsi="Tahoma" w:cs="Tahoma"/>
          <w:sz w:val="22"/>
          <w:szCs w:val="22"/>
        </w:rPr>
        <w:t>(…)</w:t>
      </w:r>
    </w:p>
    <w:p w:rsidR="00A5416C" w:rsidRPr="001C7CBE" w:rsidRDefault="00A5416C" w:rsidP="00A5416C">
      <w:pPr>
        <w:pStyle w:val="Sangradetextonormal"/>
        <w:spacing w:after="0"/>
        <w:ind w:left="851" w:right="282"/>
        <w:jc w:val="both"/>
        <w:rPr>
          <w:rFonts w:ascii="Tahoma" w:hAnsi="Tahoma" w:cs="Tahoma"/>
          <w:i/>
          <w:sz w:val="20"/>
          <w:szCs w:val="20"/>
        </w:rPr>
      </w:pPr>
      <w:r w:rsidRPr="001C7CBE">
        <w:rPr>
          <w:rFonts w:ascii="Tahoma" w:hAnsi="Tahoma" w:cs="Tahoma"/>
          <w:i/>
          <w:sz w:val="20"/>
          <w:szCs w:val="20"/>
        </w:rPr>
        <w:t>“Al respecto, le informo que, realizada la verificación de la Tarjeta Nº A-2903362 del vehículo de placa de rodaje WGJ-050 por la Registrador Público abogada Sylvia Alicia Lizama Olaya, hace la observación en cuan</w:t>
      </w:r>
      <w:r>
        <w:rPr>
          <w:rFonts w:ascii="Tahoma" w:hAnsi="Tahoma" w:cs="Tahoma"/>
          <w:i/>
          <w:sz w:val="20"/>
          <w:szCs w:val="20"/>
        </w:rPr>
        <w:t>t</w:t>
      </w:r>
      <w:r w:rsidRPr="001C7CBE">
        <w:rPr>
          <w:rFonts w:ascii="Tahoma" w:hAnsi="Tahoma" w:cs="Tahoma"/>
          <w:i/>
          <w:sz w:val="20"/>
          <w:szCs w:val="20"/>
        </w:rPr>
        <w:t>o al año de fabricación, pues de acuerdo a la partida del referido vehículo, le corresponde el año 1995 y no como consta en la copia de la tarjeta que se adjunta; en cuando a las demás características que constan en la copia de la tarjeta si corresponde a los antecedentes registrales”.</w:t>
      </w:r>
    </w:p>
    <w:p w:rsidR="00A5416C" w:rsidRPr="001C7CBE" w:rsidRDefault="00A5416C" w:rsidP="00A5416C">
      <w:pPr>
        <w:pStyle w:val="Sangradetextonormal"/>
        <w:spacing w:after="0"/>
        <w:ind w:left="851" w:right="282"/>
        <w:jc w:val="both"/>
        <w:rPr>
          <w:rFonts w:ascii="Tahoma" w:hAnsi="Tahoma" w:cs="Tahoma"/>
          <w:i/>
          <w:sz w:val="20"/>
          <w:szCs w:val="20"/>
        </w:rPr>
      </w:pPr>
    </w:p>
    <w:p w:rsidR="00A5416C" w:rsidRPr="001C7CBE" w:rsidRDefault="00A5416C" w:rsidP="00A5416C">
      <w:pPr>
        <w:pStyle w:val="Sangradetextonormal"/>
        <w:spacing w:after="0"/>
        <w:ind w:left="851" w:right="282"/>
        <w:jc w:val="both"/>
        <w:rPr>
          <w:rFonts w:ascii="Tahoma" w:hAnsi="Tahoma" w:cs="Tahoma"/>
          <w:i/>
          <w:sz w:val="20"/>
          <w:szCs w:val="20"/>
        </w:rPr>
      </w:pPr>
      <w:r w:rsidRPr="001C7CBE">
        <w:rPr>
          <w:rFonts w:ascii="Tahoma" w:hAnsi="Tahoma" w:cs="Tahoma"/>
          <w:i/>
          <w:sz w:val="20"/>
          <w:szCs w:val="20"/>
        </w:rPr>
        <w:t>En tal sentido, se adjunta el Memorándum Nº 10-2011-SLO/RPV-1C suscrito por la Registrados Público Sylvia Alicia Lizama Olaya, para los fines pertinentes.</w:t>
      </w:r>
    </w:p>
    <w:p w:rsidR="00A5416C" w:rsidRPr="001C7CBE" w:rsidRDefault="00A5416C" w:rsidP="00A5416C">
      <w:pPr>
        <w:pStyle w:val="Sangradetextonormal"/>
        <w:spacing w:after="0"/>
        <w:ind w:left="851" w:right="282"/>
        <w:jc w:val="both"/>
        <w:rPr>
          <w:rFonts w:ascii="Tahoma" w:hAnsi="Tahoma" w:cs="Tahoma"/>
          <w:i/>
          <w:sz w:val="20"/>
          <w:szCs w:val="20"/>
        </w:rPr>
      </w:pPr>
    </w:p>
    <w:p w:rsidR="00A5416C" w:rsidRPr="001C7CBE" w:rsidRDefault="00A5416C" w:rsidP="00A5416C">
      <w:pPr>
        <w:pStyle w:val="Sangradetextonormal"/>
        <w:spacing w:after="0"/>
        <w:ind w:left="851" w:right="282"/>
        <w:jc w:val="both"/>
        <w:rPr>
          <w:rFonts w:ascii="Tahoma" w:hAnsi="Tahoma" w:cs="Tahoma"/>
          <w:i/>
          <w:sz w:val="20"/>
          <w:szCs w:val="20"/>
        </w:rPr>
      </w:pPr>
      <w:r w:rsidRPr="001C7CBE">
        <w:rPr>
          <w:rFonts w:ascii="Tahoma" w:hAnsi="Tahoma" w:cs="Tahoma"/>
          <w:i/>
          <w:sz w:val="20"/>
          <w:szCs w:val="20"/>
        </w:rPr>
        <w:t>Con relación a la Tarjeta Nº A-2433273 del vehículo de placa de rodaje XO-2655 debemos indicar, que la Registrador Público Kandy Jackeline Llanos Buiza a quien le correspondería determinar la autenticidad de su firma y sello en dicho documento, se encuentra actualmente con descanso de Pre y Post Natal, por lo que, no resulta posible brindar dicha certificación.</w:t>
      </w:r>
    </w:p>
    <w:p w:rsidR="00A5416C" w:rsidRPr="001C7CBE" w:rsidRDefault="00A5416C" w:rsidP="00A5416C">
      <w:pPr>
        <w:pStyle w:val="Sangradetextonormal"/>
        <w:spacing w:after="0"/>
        <w:ind w:left="851" w:right="282"/>
        <w:jc w:val="both"/>
        <w:rPr>
          <w:rFonts w:ascii="Tahoma" w:hAnsi="Tahoma" w:cs="Tahoma"/>
          <w:i/>
          <w:sz w:val="20"/>
          <w:szCs w:val="20"/>
        </w:rPr>
      </w:pPr>
    </w:p>
    <w:p w:rsidR="00A5416C" w:rsidRDefault="00A5416C" w:rsidP="00A5416C">
      <w:pPr>
        <w:pStyle w:val="Sangradetextonormal"/>
        <w:spacing w:after="0"/>
        <w:ind w:left="851" w:right="282"/>
        <w:jc w:val="both"/>
        <w:rPr>
          <w:rFonts w:ascii="Tahoma" w:hAnsi="Tahoma" w:cs="Tahoma"/>
          <w:i/>
          <w:sz w:val="20"/>
          <w:szCs w:val="20"/>
        </w:rPr>
      </w:pPr>
      <w:r w:rsidRPr="001C7CBE">
        <w:rPr>
          <w:rFonts w:ascii="Tahoma" w:hAnsi="Tahoma" w:cs="Tahoma"/>
          <w:i/>
          <w:sz w:val="20"/>
          <w:szCs w:val="20"/>
        </w:rPr>
        <w:t xml:space="preserve">Sin embargo, verificado el sistema de expedición de Tarjetas de Registro de Propiedad Vehicular, se puede apreciar que el Nº A-2433273 habría sido expedido por este Registro. Cabe señalar que de acuerdo a la partida registral del vehículo de placa de rodaje XO-2655 el año de fabricación es 1991 y no 2000 como consta en la copia de la tarjeta adjuntada; las demás características registrables que </w:t>
      </w:r>
      <w:r w:rsidRPr="001C7CBE">
        <w:rPr>
          <w:rFonts w:ascii="Tahoma" w:hAnsi="Tahoma" w:cs="Tahoma"/>
          <w:i/>
          <w:sz w:val="20"/>
          <w:szCs w:val="20"/>
        </w:rPr>
        <w:lastRenderedPageBreak/>
        <w:t>constan en la copia de la Tarjeta de identificación Vehicular, si corresponden a los antecedentes del referido vehículo”.</w:t>
      </w:r>
    </w:p>
    <w:p w:rsidR="00A5416C" w:rsidRPr="001C7CBE" w:rsidRDefault="00A5416C" w:rsidP="00A5416C">
      <w:pPr>
        <w:pStyle w:val="Sangradetextonormal"/>
        <w:spacing w:after="0"/>
        <w:ind w:left="851" w:right="282"/>
        <w:jc w:val="both"/>
        <w:rPr>
          <w:rFonts w:ascii="Tahoma" w:hAnsi="Tahoma" w:cs="Tahoma"/>
          <w:i/>
          <w:sz w:val="20"/>
          <w:szCs w:val="20"/>
        </w:rPr>
      </w:pPr>
      <w:r>
        <w:rPr>
          <w:rFonts w:ascii="Tahoma" w:hAnsi="Tahoma" w:cs="Tahoma"/>
          <w:i/>
          <w:sz w:val="20"/>
          <w:szCs w:val="20"/>
        </w:rPr>
        <w:t>(…)</w:t>
      </w:r>
    </w:p>
    <w:p w:rsidR="00A5416C" w:rsidRPr="00EF6D22" w:rsidRDefault="00A5416C" w:rsidP="00A5416C">
      <w:pPr>
        <w:rPr>
          <w:rFonts w:ascii="Tahoma" w:hAnsi="Tahoma" w:cs="Tahoma"/>
          <w:b/>
          <w:sz w:val="22"/>
          <w:szCs w:val="22"/>
          <w:lang w:val="es-ES_tradnl"/>
        </w:rPr>
      </w:pPr>
    </w:p>
    <w:p w:rsidR="00A5416C" w:rsidRPr="00EF6D22" w:rsidRDefault="00A5416C" w:rsidP="00A5416C">
      <w:pPr>
        <w:pStyle w:val="Prrafodelista"/>
        <w:numPr>
          <w:ilvl w:val="0"/>
          <w:numId w:val="1"/>
        </w:numPr>
        <w:ind w:left="567" w:hanging="283"/>
        <w:rPr>
          <w:rFonts w:ascii="Tahoma" w:hAnsi="Tahoma" w:cs="Tahoma"/>
          <w:b/>
          <w:sz w:val="22"/>
          <w:szCs w:val="22"/>
        </w:rPr>
      </w:pPr>
      <w:r w:rsidRPr="00EF6D22">
        <w:rPr>
          <w:rFonts w:ascii="Tahoma" w:hAnsi="Tahoma" w:cs="Tahoma"/>
          <w:b/>
          <w:sz w:val="22"/>
          <w:szCs w:val="22"/>
        </w:rPr>
        <w:t>FUNDAMENTACIÓN</w:t>
      </w:r>
    </w:p>
    <w:p w:rsidR="00A5416C" w:rsidRPr="00EF6D22" w:rsidRDefault="00A5416C" w:rsidP="00A5416C">
      <w:pPr>
        <w:ind w:left="426"/>
        <w:jc w:val="both"/>
        <w:rPr>
          <w:rFonts w:ascii="Tahoma" w:hAnsi="Tahoma" w:cs="Tahoma"/>
          <w:sz w:val="22"/>
          <w:szCs w:val="22"/>
          <w:lang w:eastAsia="es-PE"/>
        </w:rPr>
      </w:pPr>
    </w:p>
    <w:p w:rsidR="00A5416C" w:rsidRPr="003A3825" w:rsidRDefault="00A5416C" w:rsidP="00A5416C">
      <w:pPr>
        <w:widowControl w:val="0"/>
        <w:numPr>
          <w:ilvl w:val="0"/>
          <w:numId w:val="6"/>
        </w:numPr>
        <w:suppressAutoHyphens/>
        <w:ind w:left="567" w:hanging="283"/>
        <w:jc w:val="both"/>
        <w:rPr>
          <w:rFonts w:ascii="Tahoma" w:eastAsia="MS Mincho" w:hAnsi="Tahoma" w:cs="Tahoma"/>
          <w:sz w:val="22"/>
          <w:szCs w:val="22"/>
          <w:lang w:val="es-ES_tradnl"/>
        </w:rPr>
      </w:pPr>
      <w:r w:rsidRPr="003A3825">
        <w:rPr>
          <w:rFonts w:ascii="Tahoma" w:eastAsia="MS Mincho" w:hAnsi="Tahoma" w:cs="Tahoma"/>
          <w:sz w:val="22"/>
          <w:szCs w:val="22"/>
          <w:lang w:val="es-ES_tradnl"/>
        </w:rPr>
        <w:t>El presente procedimiento sancionador ha sido</w:t>
      </w:r>
      <w:r>
        <w:rPr>
          <w:rFonts w:ascii="Tahoma" w:eastAsia="MS Mincho" w:hAnsi="Tahoma" w:cs="Tahoma"/>
          <w:sz w:val="22"/>
          <w:szCs w:val="22"/>
          <w:lang w:val="es-ES_tradnl"/>
        </w:rPr>
        <w:t xml:space="preserve"> iniciado para determinar si el Consorcio</w:t>
      </w:r>
      <w:r w:rsidRPr="003A3825">
        <w:rPr>
          <w:rFonts w:ascii="Tahoma" w:eastAsia="MS Mincho" w:hAnsi="Tahoma" w:cs="Tahoma"/>
          <w:sz w:val="22"/>
          <w:szCs w:val="22"/>
          <w:lang w:val="es-ES_tradnl"/>
        </w:rPr>
        <w:t xml:space="preserve"> ha incurrido en responsabilidad administrativa por la supuesta presentación de documentos</w:t>
      </w:r>
      <w:r>
        <w:rPr>
          <w:rFonts w:ascii="Tahoma" w:eastAsia="MS Mincho" w:hAnsi="Tahoma" w:cs="Tahoma"/>
          <w:sz w:val="22"/>
          <w:szCs w:val="22"/>
          <w:lang w:val="es-ES_tradnl"/>
        </w:rPr>
        <w:t xml:space="preserve"> falsos o inexactos, durante la</w:t>
      </w:r>
      <w:r w:rsidRPr="00D6786D">
        <w:rPr>
          <w:rFonts w:ascii="Tahoma" w:hAnsi="Tahoma" w:cs="Tahoma"/>
          <w:sz w:val="22"/>
          <w:szCs w:val="22"/>
        </w:rPr>
        <w:t xml:space="preserve"> </w:t>
      </w:r>
      <w:r>
        <w:rPr>
          <w:rFonts w:ascii="Tahoma" w:hAnsi="Tahoma" w:cs="Tahoma"/>
          <w:sz w:val="22"/>
          <w:szCs w:val="22"/>
        </w:rPr>
        <w:t>Adjudicación de Menor Cuantía AMC Nº 016-2010-GRA-SEDE CENTRAL (Primera Convocatoria)</w:t>
      </w:r>
      <w:r w:rsidRPr="003A3825">
        <w:rPr>
          <w:rFonts w:ascii="Tahoma" w:eastAsia="MS Mincho" w:hAnsi="Tahoma" w:cs="Tahoma"/>
          <w:sz w:val="22"/>
          <w:szCs w:val="22"/>
          <w:lang w:val="es-ES_tradnl"/>
        </w:rPr>
        <w:t>; infracción tipificada en el literal i) del numeral 51.1 del artículo 51 de la Ley de Contrataciones del Estado</w:t>
      </w:r>
      <w:r w:rsidRPr="003A3825">
        <w:rPr>
          <w:rFonts w:ascii="Tahoma" w:eastAsia="MS Mincho" w:hAnsi="Tahoma" w:cs="Tahoma"/>
          <w:sz w:val="22"/>
          <w:szCs w:val="22"/>
          <w:vertAlign w:val="superscript"/>
          <w:lang w:val="es-ES_tradnl"/>
        </w:rPr>
        <w:footnoteReference w:id="2"/>
      </w:r>
      <w:r w:rsidRPr="003A3825">
        <w:rPr>
          <w:rFonts w:ascii="Tahoma" w:eastAsia="MS Mincho" w:hAnsi="Tahoma" w:cs="Tahoma"/>
          <w:sz w:val="22"/>
          <w:szCs w:val="22"/>
          <w:lang w:val="es-ES_tradnl"/>
        </w:rPr>
        <w:t>, en adelante la Ley, concordante con el literal i) del numeral 1 del artículo 237 de su Reglamento</w:t>
      </w:r>
      <w:r w:rsidRPr="003A3825">
        <w:rPr>
          <w:rFonts w:ascii="Tahoma" w:eastAsia="MS Mincho" w:hAnsi="Tahoma" w:cs="Tahoma"/>
          <w:sz w:val="22"/>
          <w:szCs w:val="22"/>
          <w:vertAlign w:val="superscript"/>
          <w:lang w:val="es-ES_tradnl"/>
        </w:rPr>
        <w:footnoteReference w:id="3"/>
      </w:r>
      <w:r w:rsidRPr="003A3825">
        <w:rPr>
          <w:rFonts w:ascii="Tahoma" w:eastAsia="MS Mincho" w:hAnsi="Tahoma" w:cs="Tahoma"/>
          <w:sz w:val="22"/>
          <w:szCs w:val="22"/>
          <w:lang w:val="es-ES_tradnl"/>
        </w:rPr>
        <w:t>, normas vigentes al suscitarse los hechos</w:t>
      </w:r>
      <w:r>
        <w:rPr>
          <w:rFonts w:ascii="Tahoma" w:eastAsia="MS Mincho" w:hAnsi="Tahoma" w:cs="Tahoma"/>
          <w:sz w:val="22"/>
          <w:szCs w:val="22"/>
          <w:lang w:val="es-ES_tradnl"/>
        </w:rPr>
        <w:t xml:space="preserve"> materia de denuncia</w:t>
      </w:r>
      <w:r w:rsidRPr="003A3825">
        <w:rPr>
          <w:rFonts w:ascii="Tahoma" w:eastAsia="MS Mincho" w:hAnsi="Tahoma" w:cs="Tahoma"/>
          <w:sz w:val="22"/>
          <w:szCs w:val="22"/>
          <w:lang w:val="es-ES_tradnl"/>
        </w:rPr>
        <w:t>.</w:t>
      </w:r>
    </w:p>
    <w:p w:rsidR="00A5416C" w:rsidRPr="003A3825" w:rsidRDefault="00A5416C" w:rsidP="00A5416C">
      <w:pPr>
        <w:widowControl w:val="0"/>
        <w:suppressAutoHyphens/>
        <w:ind w:left="720"/>
        <w:rPr>
          <w:rFonts w:ascii="Tahoma" w:eastAsia="MS Mincho" w:hAnsi="Tahoma" w:cs="Tahoma"/>
          <w:b/>
          <w:sz w:val="22"/>
          <w:szCs w:val="22"/>
          <w:lang w:val="es-ES_tradnl"/>
        </w:rPr>
      </w:pPr>
    </w:p>
    <w:p w:rsidR="00A5416C" w:rsidRDefault="00A5416C" w:rsidP="00A5416C">
      <w:pPr>
        <w:widowControl w:val="0"/>
        <w:numPr>
          <w:ilvl w:val="0"/>
          <w:numId w:val="6"/>
        </w:numPr>
        <w:suppressAutoHyphens/>
        <w:ind w:left="567" w:hanging="283"/>
        <w:jc w:val="both"/>
        <w:rPr>
          <w:rFonts w:ascii="Tahoma" w:eastAsia="MS Mincho" w:hAnsi="Tahoma" w:cs="Tahoma"/>
          <w:sz w:val="22"/>
          <w:szCs w:val="22"/>
          <w:lang w:val="es-ES_tradnl"/>
        </w:rPr>
      </w:pPr>
      <w:r w:rsidRPr="003A3825">
        <w:rPr>
          <w:rFonts w:ascii="Tahoma" w:eastAsia="MS Mincho" w:hAnsi="Tahoma" w:cs="Tahoma"/>
          <w:sz w:val="22"/>
          <w:szCs w:val="22"/>
          <w:lang w:val="es-ES_tradnl"/>
        </w:rPr>
        <w:t>Sobre el particular, el literal i) del artículo 51 de la Ley, concordante con el artículo 237 del Reglamento establece que los agentes privados de la contratación incurrirán en infracción susceptible de sanción cuando presenten documentos falsos o información inexacta a las Entidades , al Tribunal o al OSCE.</w:t>
      </w:r>
    </w:p>
    <w:p w:rsidR="00A5416C" w:rsidRDefault="00A5416C" w:rsidP="00A5416C">
      <w:pPr>
        <w:pStyle w:val="Prrafodelista"/>
        <w:rPr>
          <w:rFonts w:ascii="Tahoma" w:eastAsia="MS Mincho" w:hAnsi="Tahoma" w:cs="Tahoma"/>
          <w:sz w:val="22"/>
          <w:szCs w:val="22"/>
        </w:rPr>
      </w:pPr>
    </w:p>
    <w:p w:rsidR="00A5416C" w:rsidRPr="003A3825" w:rsidRDefault="00A5416C" w:rsidP="00A5416C">
      <w:pPr>
        <w:widowControl w:val="0"/>
        <w:suppressAutoHyphens/>
        <w:ind w:left="567"/>
        <w:jc w:val="both"/>
        <w:rPr>
          <w:rFonts w:ascii="Tahoma" w:eastAsia="MS Mincho" w:hAnsi="Tahoma" w:cs="Tahoma"/>
          <w:sz w:val="22"/>
          <w:szCs w:val="22"/>
          <w:lang w:val="es-ES_tradnl"/>
        </w:rPr>
      </w:pPr>
      <w:r w:rsidRPr="003A3825">
        <w:rPr>
          <w:rFonts w:ascii="Tahoma" w:eastAsia="MS Mincho" w:hAnsi="Tahoma" w:cs="Tahoma"/>
          <w:sz w:val="22"/>
          <w:szCs w:val="22"/>
          <w:lang w:val="es-ES_tradnl"/>
        </w:rPr>
        <w:t>Dicha infracción se configura con la sola presentación del documento falso o inexacto, sin que la norma e</w:t>
      </w:r>
      <w:r>
        <w:rPr>
          <w:rFonts w:ascii="Tahoma" w:eastAsia="MS Mincho" w:hAnsi="Tahoma" w:cs="Tahoma"/>
          <w:sz w:val="22"/>
          <w:szCs w:val="22"/>
          <w:lang w:val="es-ES_tradnl"/>
        </w:rPr>
        <w:t>xija otros factores adicionales</w:t>
      </w:r>
      <w:r w:rsidRPr="003A3825">
        <w:rPr>
          <w:rFonts w:ascii="Tahoma" w:eastAsia="MS Mincho" w:hAnsi="Tahoma" w:cs="Tahoma"/>
          <w:sz w:val="22"/>
          <w:szCs w:val="22"/>
          <w:lang w:val="es-ES_tradnl"/>
        </w:rPr>
        <w:t>; es decir, con la sola afectación del Principio de Presunción de Veracidad</w:t>
      </w:r>
      <w:r w:rsidRPr="003A3825">
        <w:rPr>
          <w:rFonts w:ascii="Tahoma" w:eastAsia="MS Mincho" w:hAnsi="Tahoma" w:cs="Tahoma"/>
          <w:sz w:val="22"/>
          <w:szCs w:val="22"/>
          <w:vertAlign w:val="superscript"/>
          <w:lang w:val="es-ES_tradnl"/>
        </w:rPr>
        <w:footnoteReference w:id="4"/>
      </w:r>
      <w:r w:rsidRPr="003A3825">
        <w:rPr>
          <w:rFonts w:ascii="Tahoma" w:eastAsia="MS Mincho" w:hAnsi="Tahoma" w:cs="Tahoma"/>
          <w:sz w:val="22"/>
          <w:szCs w:val="22"/>
          <w:lang w:val="es-ES_tradnl"/>
        </w:rPr>
        <w:t xml:space="preserve"> consagrado en el acápite 1.7 del Artículo IV del Título Preliminar de la Ley Nº 27444, del Procedimiento Administrativo General, por cuanto la Administración Pública presume que todos los documentos y declaraciones formuladas por los administrados responden a la verdad de los hechos que ellos afirman, reservándose, en virtud de lo establecido en el numeral 1.16 del citado dispositivo, el derecho de verificar posteriormente la veracidad y autenticidad de los mismos.</w:t>
      </w:r>
    </w:p>
    <w:p w:rsidR="00A5416C" w:rsidRPr="003A3825" w:rsidRDefault="00A5416C" w:rsidP="00A5416C">
      <w:pPr>
        <w:widowControl w:val="0"/>
        <w:suppressAutoHyphens/>
        <w:ind w:left="567" w:hanging="283"/>
        <w:rPr>
          <w:rFonts w:ascii="Tahoma" w:eastAsia="MS Mincho" w:hAnsi="Tahoma" w:cs="Tahoma"/>
          <w:sz w:val="22"/>
          <w:szCs w:val="22"/>
          <w:lang w:val="es-ES_tradnl"/>
        </w:rPr>
      </w:pPr>
    </w:p>
    <w:p w:rsidR="00A5416C" w:rsidRPr="003A3825" w:rsidRDefault="00A5416C" w:rsidP="00A5416C">
      <w:pPr>
        <w:widowControl w:val="0"/>
        <w:numPr>
          <w:ilvl w:val="0"/>
          <w:numId w:val="6"/>
        </w:numPr>
        <w:suppressAutoHyphens/>
        <w:ind w:left="567" w:hanging="283"/>
        <w:jc w:val="both"/>
        <w:rPr>
          <w:rFonts w:ascii="Tahoma" w:eastAsia="MS Mincho" w:hAnsi="Tahoma" w:cs="Tahoma"/>
          <w:sz w:val="22"/>
          <w:szCs w:val="22"/>
          <w:lang w:val="es-ES_tradnl"/>
        </w:rPr>
      </w:pPr>
      <w:r w:rsidRPr="003A3825">
        <w:rPr>
          <w:rFonts w:ascii="Tahoma" w:eastAsia="MS Mincho" w:hAnsi="Tahoma" w:cs="Tahoma"/>
          <w:sz w:val="22"/>
          <w:szCs w:val="22"/>
          <w:lang w:val="es-ES_tradnl"/>
        </w:rPr>
        <w:t xml:space="preserve">Asimismo, </w:t>
      </w:r>
      <w:r w:rsidRPr="003A3825">
        <w:rPr>
          <w:rFonts w:ascii="Tahoma" w:eastAsia="MS Mincho" w:hAnsi="Tahoma" w:cs="Tahoma"/>
          <w:sz w:val="22"/>
          <w:szCs w:val="22"/>
          <w:lang w:val="es-MX"/>
        </w:rPr>
        <w:t xml:space="preserve">el artículo 42 de la Ley de Procedimiento Administrativo General establece que todas las declaraciones juradas, los documentos sucedáneos presentados y la información incluida en los escritos y formularios que presenten los administrados para la realización de procedimientos administrativos, </w:t>
      </w:r>
      <w:r w:rsidRPr="003A3825">
        <w:rPr>
          <w:rFonts w:ascii="Tahoma" w:eastAsia="MS Mincho" w:hAnsi="Tahoma" w:cs="Tahoma"/>
          <w:b/>
          <w:bCs/>
          <w:sz w:val="22"/>
          <w:szCs w:val="22"/>
          <w:lang w:val="es-MX"/>
        </w:rPr>
        <w:t>se presumen verificados por quien hace uso de ellos, así como de contenido veraz para fines del procedimiento administrativo</w:t>
      </w:r>
      <w:r w:rsidRPr="003A3825">
        <w:rPr>
          <w:rFonts w:ascii="Tahoma" w:eastAsia="MS Mincho" w:hAnsi="Tahoma" w:cs="Tahoma"/>
          <w:sz w:val="22"/>
          <w:szCs w:val="22"/>
          <w:lang w:val="es-MX"/>
        </w:rPr>
        <w:t xml:space="preserve">. Sin </w:t>
      </w:r>
      <w:r w:rsidRPr="003A3825">
        <w:rPr>
          <w:rFonts w:ascii="Tahoma" w:eastAsia="MS Mincho" w:hAnsi="Tahoma" w:cs="Tahoma"/>
          <w:sz w:val="22"/>
          <w:szCs w:val="22"/>
          <w:lang w:val="es-MX"/>
        </w:rPr>
        <w:lastRenderedPageBreak/>
        <w:t xml:space="preserve">embargo, esta presunción es de índole </w:t>
      </w:r>
      <w:r w:rsidRPr="003A3825">
        <w:rPr>
          <w:rFonts w:ascii="Tahoma" w:eastAsia="MS Mincho" w:hAnsi="Tahoma" w:cs="Tahoma"/>
          <w:i/>
          <w:iCs/>
          <w:sz w:val="22"/>
          <w:szCs w:val="22"/>
          <w:lang w:val="es-MX"/>
        </w:rPr>
        <w:t>juris tantum</w:t>
      </w:r>
      <w:r w:rsidRPr="003A3825">
        <w:rPr>
          <w:rFonts w:ascii="Tahoma" w:eastAsia="MS Mincho" w:hAnsi="Tahoma" w:cs="Tahoma"/>
          <w:sz w:val="22"/>
          <w:szCs w:val="22"/>
          <w:lang w:val="es-MX"/>
        </w:rPr>
        <w:t xml:space="preserve"> pues admite prueba en contrario, en la medida que es atribución de la Administración Pública verificar la documentación presentada cuando existen indicios suficientes de que la información consignada no se ajusta a los hechos.</w:t>
      </w:r>
    </w:p>
    <w:p w:rsidR="00A5416C" w:rsidRPr="003A3825" w:rsidRDefault="00A5416C" w:rsidP="00A5416C">
      <w:pPr>
        <w:widowControl w:val="0"/>
        <w:suppressAutoHyphens/>
        <w:ind w:left="567" w:hanging="283"/>
        <w:rPr>
          <w:rFonts w:ascii="Tahoma" w:eastAsia="MS Mincho" w:hAnsi="Tahoma" w:cs="Tahoma"/>
          <w:sz w:val="22"/>
          <w:szCs w:val="22"/>
          <w:lang w:val="es-ES_tradnl"/>
        </w:rPr>
      </w:pPr>
    </w:p>
    <w:p w:rsidR="00A5416C" w:rsidRPr="003A3825" w:rsidRDefault="00A5416C" w:rsidP="00A5416C">
      <w:pPr>
        <w:widowControl w:val="0"/>
        <w:numPr>
          <w:ilvl w:val="0"/>
          <w:numId w:val="6"/>
        </w:numPr>
        <w:suppressAutoHyphens/>
        <w:ind w:left="567" w:hanging="283"/>
        <w:jc w:val="both"/>
        <w:rPr>
          <w:rFonts w:ascii="Tahoma" w:eastAsia="MS Mincho" w:hAnsi="Tahoma" w:cs="Tahoma"/>
          <w:sz w:val="22"/>
          <w:szCs w:val="22"/>
          <w:lang w:val="es-ES_tradnl"/>
        </w:rPr>
      </w:pPr>
      <w:r w:rsidRPr="003A3825">
        <w:rPr>
          <w:rFonts w:ascii="Tahoma" w:eastAsia="MS Mincho" w:hAnsi="Tahoma" w:cs="Tahoma"/>
          <w:sz w:val="22"/>
          <w:szCs w:val="22"/>
          <w:lang w:val="es-ES_tradnl"/>
        </w:rPr>
        <w:t>Concordante con lo manifestado, el inciso 4) del artículo 56 del mismo cuerpo legal, estipula como uno de los deberes generales de los administrados, la comprobación de la autenticidad previamente a su presentación ante la Entidad, de la documentación sucedánea y de cualquier otra información que se ampare en la presunción de veracidad.</w:t>
      </w:r>
    </w:p>
    <w:p w:rsidR="00A5416C" w:rsidRPr="003A3825" w:rsidRDefault="00A5416C" w:rsidP="00A5416C">
      <w:pPr>
        <w:widowControl w:val="0"/>
        <w:suppressAutoHyphens/>
        <w:ind w:left="567" w:hanging="283"/>
        <w:rPr>
          <w:rFonts w:ascii="Tahoma" w:eastAsia="MS Mincho" w:hAnsi="Tahoma" w:cs="Tahoma"/>
          <w:sz w:val="22"/>
          <w:szCs w:val="22"/>
          <w:lang w:val="es-ES_tradnl"/>
        </w:rPr>
      </w:pPr>
    </w:p>
    <w:p w:rsidR="00A5416C" w:rsidRPr="003A3825" w:rsidRDefault="00A5416C" w:rsidP="00A5416C">
      <w:pPr>
        <w:widowControl w:val="0"/>
        <w:numPr>
          <w:ilvl w:val="0"/>
          <w:numId w:val="6"/>
        </w:numPr>
        <w:suppressAutoHyphens/>
        <w:ind w:left="567" w:hanging="283"/>
        <w:jc w:val="both"/>
        <w:rPr>
          <w:rFonts w:ascii="Tahoma" w:eastAsia="MS Mincho" w:hAnsi="Tahoma" w:cs="Tahoma"/>
          <w:sz w:val="22"/>
          <w:szCs w:val="22"/>
          <w:lang w:val="es-ES_tradnl"/>
        </w:rPr>
      </w:pPr>
      <w:r w:rsidRPr="003A3825">
        <w:rPr>
          <w:rFonts w:ascii="Tahoma" w:eastAsia="MS Mincho" w:hAnsi="Tahoma" w:cs="Tahoma"/>
          <w:sz w:val="22"/>
          <w:szCs w:val="22"/>
          <w:lang w:val="es-ES_tradnl"/>
        </w:rPr>
        <w:t xml:space="preserve">En línea con lo anterior, el literal c) del numeral 1 del artículo 42 del Reglamento establece que los postores y/o contratistas </w:t>
      </w:r>
      <w:r w:rsidRPr="003A3825">
        <w:rPr>
          <w:rFonts w:ascii="Tahoma" w:eastAsia="MS Mincho" w:hAnsi="Tahoma" w:cs="Tahoma"/>
          <w:b/>
          <w:sz w:val="22"/>
          <w:szCs w:val="22"/>
          <w:lang w:val="es-ES_tradnl"/>
        </w:rPr>
        <w:t>son responsables de la veracidad de los documentos e información que presentan para efectos de un proceso de selección determinado</w:t>
      </w:r>
      <w:r w:rsidRPr="003A3825">
        <w:rPr>
          <w:rFonts w:ascii="Tahoma" w:eastAsia="MS Mincho" w:hAnsi="Tahoma" w:cs="Tahoma"/>
          <w:sz w:val="22"/>
          <w:szCs w:val="22"/>
          <w:lang w:val="es-ES_tradnl"/>
        </w:rPr>
        <w:t>.</w:t>
      </w:r>
    </w:p>
    <w:p w:rsidR="00A5416C" w:rsidRPr="003A3825" w:rsidRDefault="00A5416C" w:rsidP="00A5416C">
      <w:pPr>
        <w:ind w:left="567" w:hanging="283"/>
        <w:jc w:val="both"/>
        <w:rPr>
          <w:rFonts w:ascii="Tahoma" w:eastAsia="MS Mincho" w:hAnsi="Tahoma" w:cs="Tahoma"/>
          <w:sz w:val="22"/>
          <w:szCs w:val="22"/>
          <w:lang w:val="es-ES_tradnl"/>
        </w:rPr>
      </w:pPr>
    </w:p>
    <w:p w:rsidR="00A5416C" w:rsidRPr="003A3825" w:rsidRDefault="00A5416C" w:rsidP="00A5416C">
      <w:pPr>
        <w:widowControl w:val="0"/>
        <w:numPr>
          <w:ilvl w:val="0"/>
          <w:numId w:val="6"/>
        </w:numPr>
        <w:suppressAutoHyphens/>
        <w:ind w:left="567" w:hanging="283"/>
        <w:jc w:val="both"/>
        <w:rPr>
          <w:rFonts w:ascii="Tahoma" w:eastAsia="MS Mincho" w:hAnsi="Tahoma" w:cs="Tahoma"/>
          <w:sz w:val="22"/>
          <w:szCs w:val="22"/>
          <w:lang w:val="es-ES_tradnl"/>
        </w:rPr>
      </w:pPr>
      <w:r w:rsidRPr="003A3825">
        <w:rPr>
          <w:rFonts w:ascii="Tahoma" w:eastAsia="MS Mincho" w:hAnsi="Tahoma" w:cs="Tahoma"/>
          <w:sz w:val="22"/>
          <w:szCs w:val="22"/>
          <w:lang w:val="es-ES_tradnl"/>
        </w:rPr>
        <w:t xml:space="preserve">Ahora bien, para la configuración del supuesto de presentación de documentación falsa, se requiere previamente acreditar su falsedad, esto es que el documento o los documentos cuestionados no hayan sido válidamente expedidos por el órgano o agente emisor correspondiente o que, siendo válidamente expedidos, hayan sido adulterados en su contenido. </w:t>
      </w:r>
    </w:p>
    <w:p w:rsidR="00A5416C" w:rsidRPr="003A3825" w:rsidRDefault="00A5416C" w:rsidP="00A5416C">
      <w:pPr>
        <w:ind w:left="567" w:hanging="283"/>
        <w:jc w:val="both"/>
        <w:rPr>
          <w:rFonts w:ascii="Tahoma" w:eastAsia="MS Mincho" w:hAnsi="Tahoma" w:cs="Tahoma"/>
          <w:sz w:val="22"/>
          <w:szCs w:val="22"/>
          <w:lang w:val="es-PE"/>
        </w:rPr>
      </w:pPr>
    </w:p>
    <w:p w:rsidR="00A5416C" w:rsidRPr="003A3825" w:rsidRDefault="00A5416C" w:rsidP="00A5416C">
      <w:pPr>
        <w:ind w:left="567"/>
        <w:jc w:val="both"/>
        <w:rPr>
          <w:rFonts w:ascii="Tahoma" w:eastAsia="MS Mincho" w:hAnsi="Tahoma" w:cs="Tahoma"/>
          <w:sz w:val="22"/>
          <w:szCs w:val="22"/>
          <w:lang w:val="es-ES_tradnl"/>
        </w:rPr>
      </w:pPr>
      <w:r w:rsidRPr="003A3825">
        <w:rPr>
          <w:rFonts w:ascii="Tahoma" w:eastAsia="MS Mincho" w:hAnsi="Tahoma" w:cs="Tahoma"/>
          <w:sz w:val="22"/>
          <w:szCs w:val="22"/>
          <w:lang w:val="es-PE"/>
        </w:rPr>
        <w:t xml:space="preserve">Por otro lado, la infracción referida a información inexacta se configura ante la presentación de documentos no concordantes con la realidad, que constituye una forma de falseamiento de la misma, a través del quebrantamiento de los </w:t>
      </w:r>
      <w:r w:rsidRPr="003A3825">
        <w:rPr>
          <w:rFonts w:ascii="Tahoma" w:eastAsia="MS Mincho" w:hAnsi="Tahoma" w:cs="Tahoma"/>
          <w:i/>
          <w:iCs/>
          <w:sz w:val="22"/>
          <w:szCs w:val="22"/>
          <w:lang w:val="es-PE"/>
        </w:rPr>
        <w:t>Principios de Moralidad</w:t>
      </w:r>
      <w:r w:rsidRPr="003A3825">
        <w:rPr>
          <w:rFonts w:ascii="Tahoma" w:eastAsia="MS Mincho" w:hAnsi="Tahoma" w:cs="Tahoma"/>
          <w:sz w:val="22"/>
          <w:szCs w:val="22"/>
          <w:lang w:val="es-PE"/>
        </w:rPr>
        <w:t xml:space="preserve"> y de </w:t>
      </w:r>
      <w:r w:rsidRPr="003A3825">
        <w:rPr>
          <w:rFonts w:ascii="Tahoma" w:eastAsia="MS Mincho" w:hAnsi="Tahoma" w:cs="Tahoma"/>
          <w:i/>
          <w:sz w:val="22"/>
          <w:szCs w:val="22"/>
          <w:lang w:val="es-PE"/>
        </w:rPr>
        <w:t>P</w:t>
      </w:r>
      <w:r w:rsidRPr="003A3825">
        <w:rPr>
          <w:rFonts w:ascii="Tahoma" w:eastAsia="MS Mincho" w:hAnsi="Tahoma" w:cs="Tahoma"/>
          <w:i/>
          <w:iCs/>
          <w:sz w:val="22"/>
          <w:szCs w:val="22"/>
          <w:lang w:val="es-PE"/>
        </w:rPr>
        <w:t>resunción de Veracidad.</w:t>
      </w:r>
    </w:p>
    <w:p w:rsidR="00A5416C" w:rsidRPr="003A3825" w:rsidRDefault="00A5416C" w:rsidP="00A5416C">
      <w:pPr>
        <w:ind w:left="567" w:hanging="283"/>
        <w:jc w:val="both"/>
        <w:rPr>
          <w:rFonts w:ascii="Tahoma" w:eastAsia="MS Mincho" w:hAnsi="Tahoma" w:cs="Tahoma"/>
          <w:sz w:val="22"/>
          <w:szCs w:val="22"/>
          <w:lang w:val="es-ES_tradnl"/>
        </w:rPr>
      </w:pPr>
    </w:p>
    <w:p w:rsidR="00A5416C" w:rsidRPr="003A3825" w:rsidRDefault="00A5416C" w:rsidP="00A5416C">
      <w:pPr>
        <w:widowControl w:val="0"/>
        <w:numPr>
          <w:ilvl w:val="0"/>
          <w:numId w:val="6"/>
        </w:numPr>
        <w:suppressAutoHyphens/>
        <w:ind w:left="567" w:hanging="283"/>
        <w:jc w:val="both"/>
        <w:rPr>
          <w:rFonts w:ascii="Tahoma" w:eastAsia="MS Mincho" w:hAnsi="Tahoma" w:cs="Tahoma"/>
          <w:sz w:val="22"/>
          <w:szCs w:val="22"/>
          <w:lang w:val="es-ES_tradnl"/>
        </w:rPr>
      </w:pPr>
      <w:r w:rsidRPr="003A3825">
        <w:rPr>
          <w:rFonts w:ascii="Tahoma" w:eastAsia="MS Mincho" w:hAnsi="Tahoma" w:cs="Tahoma"/>
          <w:sz w:val="22"/>
          <w:szCs w:val="22"/>
          <w:lang w:val="es-ES_tradnl"/>
        </w:rPr>
        <w:t xml:space="preserve">En el caso que nos </w:t>
      </w:r>
      <w:r>
        <w:rPr>
          <w:rFonts w:ascii="Tahoma" w:eastAsia="MS Mincho" w:hAnsi="Tahoma" w:cs="Tahoma"/>
          <w:sz w:val="22"/>
          <w:szCs w:val="22"/>
          <w:lang w:val="es-ES_tradnl"/>
        </w:rPr>
        <w:t>ocupa, se imputa al Consorcio</w:t>
      </w:r>
      <w:r w:rsidRPr="003A3825">
        <w:rPr>
          <w:rFonts w:ascii="Tahoma" w:eastAsia="MS Mincho" w:hAnsi="Tahoma" w:cs="Tahoma"/>
          <w:sz w:val="22"/>
          <w:szCs w:val="22"/>
          <w:lang w:val="es-ES_tradnl"/>
        </w:rPr>
        <w:t xml:space="preserve"> haber presentado documentación falsa o información inexacta, al adjuntar como parte de </w:t>
      </w:r>
      <w:r>
        <w:rPr>
          <w:rFonts w:ascii="Tahoma" w:eastAsia="MS Mincho" w:hAnsi="Tahoma" w:cs="Tahoma"/>
          <w:sz w:val="22"/>
          <w:szCs w:val="22"/>
          <w:lang w:val="es-ES_tradnl"/>
        </w:rPr>
        <w:t>su propuesta técnica copia de</w:t>
      </w:r>
      <w:r w:rsidRPr="003A3825">
        <w:rPr>
          <w:rFonts w:ascii="Tahoma" w:eastAsia="MS Mincho" w:hAnsi="Tahoma" w:cs="Tahoma"/>
          <w:sz w:val="22"/>
          <w:szCs w:val="22"/>
          <w:lang w:val="es-ES_tradnl"/>
        </w:rPr>
        <w:t xml:space="preserve"> </w:t>
      </w:r>
      <w:r>
        <w:rPr>
          <w:rFonts w:ascii="Tahoma" w:hAnsi="Tahoma" w:cs="Tahoma"/>
          <w:sz w:val="22"/>
          <w:szCs w:val="22"/>
        </w:rPr>
        <w:t>las Tarjetas de Propiedad Nº A2433273 y A2903362 correspondientes a los vehículos de Placas Nº XO – 2655 y WG – 050.</w:t>
      </w:r>
    </w:p>
    <w:p w:rsidR="00A5416C" w:rsidRPr="003A3825" w:rsidRDefault="00A5416C" w:rsidP="00A5416C">
      <w:pPr>
        <w:ind w:left="567" w:hanging="283"/>
        <w:jc w:val="both"/>
        <w:rPr>
          <w:rFonts w:ascii="Tahoma" w:eastAsia="MS Mincho" w:hAnsi="Tahoma" w:cs="Tahoma"/>
          <w:sz w:val="22"/>
          <w:szCs w:val="22"/>
          <w:lang w:val="es-ES_tradnl"/>
        </w:rPr>
      </w:pPr>
    </w:p>
    <w:p w:rsidR="00A5416C" w:rsidRDefault="00A5416C" w:rsidP="00A5416C">
      <w:pPr>
        <w:widowControl w:val="0"/>
        <w:numPr>
          <w:ilvl w:val="0"/>
          <w:numId w:val="6"/>
        </w:numPr>
        <w:suppressAutoHyphens/>
        <w:ind w:left="567" w:hanging="283"/>
        <w:jc w:val="both"/>
        <w:rPr>
          <w:rFonts w:ascii="Tahoma" w:eastAsia="MS Mincho" w:hAnsi="Tahoma" w:cs="Tahoma"/>
          <w:sz w:val="22"/>
          <w:szCs w:val="22"/>
          <w:lang w:val="es-ES_tradnl"/>
        </w:rPr>
      </w:pPr>
      <w:r>
        <w:rPr>
          <w:rFonts w:ascii="Tahoma" w:eastAsia="MS Mincho" w:hAnsi="Tahoma" w:cs="Tahoma"/>
          <w:sz w:val="22"/>
          <w:szCs w:val="22"/>
          <w:lang w:val="es-ES_tradnl"/>
        </w:rPr>
        <w:t>Ahora bien, u</w:t>
      </w:r>
      <w:r w:rsidRPr="003A3825">
        <w:rPr>
          <w:rFonts w:ascii="Tahoma" w:eastAsia="MS Mincho" w:hAnsi="Tahoma" w:cs="Tahoma"/>
          <w:sz w:val="22"/>
          <w:szCs w:val="22"/>
          <w:lang w:val="es-ES_tradnl"/>
        </w:rPr>
        <w:t>na primera circunstancia a analizar, es la relacionada con la presunta fal</w:t>
      </w:r>
      <w:r>
        <w:rPr>
          <w:rFonts w:ascii="Tahoma" w:eastAsia="MS Mincho" w:hAnsi="Tahoma" w:cs="Tahoma"/>
          <w:sz w:val="22"/>
          <w:szCs w:val="22"/>
          <w:lang w:val="es-ES_tradnl"/>
        </w:rPr>
        <w:t xml:space="preserve">sedad del documento en cuestión, la misma que se verifica cuando </w:t>
      </w:r>
      <w:r w:rsidRPr="003A3825">
        <w:rPr>
          <w:rFonts w:ascii="Tahoma" w:eastAsia="MS Mincho" w:hAnsi="Tahoma" w:cs="Tahoma"/>
          <w:sz w:val="22"/>
          <w:szCs w:val="22"/>
          <w:lang w:val="es-ES_tradnl"/>
        </w:rPr>
        <w:t>la manifestación efectuada por el propio agente emisor, a través de c</w:t>
      </w:r>
      <w:r>
        <w:rPr>
          <w:rFonts w:ascii="Tahoma" w:eastAsia="MS Mincho" w:hAnsi="Tahoma" w:cs="Tahoma"/>
          <w:sz w:val="22"/>
          <w:szCs w:val="22"/>
          <w:lang w:val="es-ES_tradnl"/>
        </w:rPr>
        <w:t>omunicación oficial, acredita</w:t>
      </w:r>
      <w:r w:rsidRPr="003A3825">
        <w:rPr>
          <w:rFonts w:ascii="Tahoma" w:eastAsia="MS Mincho" w:hAnsi="Tahoma" w:cs="Tahoma"/>
          <w:sz w:val="22"/>
          <w:szCs w:val="22"/>
          <w:lang w:val="es-ES_tradnl"/>
        </w:rPr>
        <w:t xml:space="preserve"> que el documento cuestionado no ha sido expedido por éste</w:t>
      </w:r>
      <w:r>
        <w:rPr>
          <w:rFonts w:ascii="Tahoma" w:eastAsia="MS Mincho" w:hAnsi="Tahoma" w:cs="Tahoma"/>
          <w:sz w:val="22"/>
          <w:szCs w:val="22"/>
          <w:lang w:val="es-ES_tradnl"/>
        </w:rPr>
        <w:t xml:space="preserve"> o de haber sido expedido, haya sido adulterado en su contenido</w:t>
      </w:r>
      <w:r w:rsidRPr="003A3825">
        <w:rPr>
          <w:rFonts w:ascii="Tahoma" w:eastAsia="MS Mincho" w:hAnsi="Tahoma" w:cs="Tahoma"/>
          <w:sz w:val="22"/>
          <w:szCs w:val="22"/>
          <w:lang w:val="es-ES_tradnl"/>
        </w:rPr>
        <w:t>, criterio que ha sido recogido por el Tribunal en anteriores oportunidades.</w:t>
      </w:r>
    </w:p>
    <w:p w:rsidR="00A5416C" w:rsidRDefault="00A5416C" w:rsidP="00A5416C">
      <w:pPr>
        <w:pStyle w:val="Prrafodelista"/>
        <w:rPr>
          <w:rFonts w:ascii="Tahoma" w:eastAsia="MS Mincho" w:hAnsi="Tahoma" w:cs="Tahoma"/>
          <w:sz w:val="22"/>
          <w:szCs w:val="22"/>
        </w:rPr>
      </w:pPr>
    </w:p>
    <w:p w:rsidR="00A5416C" w:rsidRPr="004B5B64" w:rsidRDefault="00A5416C" w:rsidP="00A5416C">
      <w:pPr>
        <w:widowControl w:val="0"/>
        <w:numPr>
          <w:ilvl w:val="0"/>
          <w:numId w:val="6"/>
        </w:numPr>
        <w:suppressAutoHyphens/>
        <w:ind w:left="567" w:hanging="283"/>
        <w:jc w:val="both"/>
        <w:rPr>
          <w:rFonts w:ascii="Tahoma" w:eastAsia="MS Mincho" w:hAnsi="Tahoma" w:cs="Tahoma"/>
          <w:i/>
          <w:sz w:val="18"/>
          <w:szCs w:val="18"/>
          <w:lang w:val="es-ES_tradnl"/>
        </w:rPr>
      </w:pPr>
      <w:r>
        <w:rPr>
          <w:rFonts w:ascii="Tahoma" w:eastAsia="MS Mincho" w:hAnsi="Tahoma" w:cs="Tahoma"/>
          <w:sz w:val="22"/>
          <w:szCs w:val="22"/>
          <w:lang w:val="es-ES_tradnl"/>
        </w:rPr>
        <w:t xml:space="preserve">Respecto a ello, cabe precisar que mediante el </w:t>
      </w:r>
      <w:r>
        <w:rPr>
          <w:rFonts w:ascii="Tahoma" w:hAnsi="Tahoma" w:cs="Tahoma"/>
          <w:sz w:val="22"/>
          <w:szCs w:val="22"/>
        </w:rPr>
        <w:t>Oficio Nº 745-2011-SUNARP-Z.R. Nº IX/GBM presentado el 26 de abril del 2011, la Superintendencia Nacional de los Registros Públicos – SUNARP</w:t>
      </w:r>
      <w:r>
        <w:rPr>
          <w:rFonts w:ascii="Tahoma" w:eastAsia="MS Mincho" w:hAnsi="Tahoma" w:cs="Tahoma"/>
          <w:sz w:val="22"/>
          <w:szCs w:val="22"/>
          <w:lang w:val="es-ES_tradnl"/>
        </w:rPr>
        <w:t xml:space="preserve">, informó a este Tribunal que de la Tarjeta Nº A 2903362 del vehículo de placa de rodaje WGJ-050, se observó en cuanto al año de fabricación, pues de acuerdo a la partida de referido vehículo, le corresponde el año 1995 y no como consta en la copia de la referida tarjeta; asimismo, </w:t>
      </w:r>
      <w:r>
        <w:rPr>
          <w:rFonts w:ascii="Tahoma" w:eastAsia="MS Mincho" w:hAnsi="Tahoma" w:cs="Tahoma"/>
          <w:sz w:val="22"/>
          <w:szCs w:val="22"/>
          <w:lang w:val="es-ES_tradnl"/>
        </w:rPr>
        <w:lastRenderedPageBreak/>
        <w:t>respecto a la Tarjeta Nº A – 2433273 del vehículo de placa de rodaje XO – 2655, también se señaló que de acuerdo a la partida registral de dicho vehículo, el año de fabricación es 1991 y no 2000, como consta en dicha tarjeta.</w:t>
      </w:r>
    </w:p>
    <w:p w:rsidR="00A5416C" w:rsidRDefault="00A5416C" w:rsidP="00A5416C">
      <w:pPr>
        <w:pStyle w:val="Prrafodelista"/>
        <w:ind w:left="567" w:hanging="283"/>
        <w:rPr>
          <w:rFonts w:ascii="Tahoma" w:eastAsia="MS Mincho" w:hAnsi="Tahoma" w:cs="Tahoma"/>
          <w:sz w:val="22"/>
          <w:szCs w:val="22"/>
        </w:rPr>
      </w:pPr>
    </w:p>
    <w:p w:rsidR="00A5416C" w:rsidRDefault="00A5416C" w:rsidP="00A5416C">
      <w:pPr>
        <w:numPr>
          <w:ilvl w:val="0"/>
          <w:numId w:val="6"/>
        </w:numPr>
        <w:ind w:left="567" w:hanging="283"/>
        <w:jc w:val="both"/>
        <w:rPr>
          <w:rFonts w:ascii="Tahoma" w:hAnsi="Tahoma" w:cs="Tahoma"/>
          <w:sz w:val="22"/>
          <w:szCs w:val="22"/>
        </w:rPr>
      </w:pPr>
      <w:r w:rsidRPr="001B63BD">
        <w:rPr>
          <w:rFonts w:ascii="Tahoma" w:hAnsi="Tahoma" w:cs="Tahoma"/>
          <w:sz w:val="22"/>
          <w:szCs w:val="22"/>
        </w:rPr>
        <w:t>Como se puede advertir,</w:t>
      </w:r>
      <w:r>
        <w:rPr>
          <w:rFonts w:ascii="Tahoma" w:hAnsi="Tahoma" w:cs="Tahoma"/>
          <w:sz w:val="22"/>
          <w:szCs w:val="22"/>
        </w:rPr>
        <w:t xml:space="preserve"> el supuesto emisor</w:t>
      </w:r>
      <w:r w:rsidRPr="001B63BD">
        <w:rPr>
          <w:rFonts w:ascii="Tahoma" w:hAnsi="Tahoma" w:cs="Tahoma"/>
          <w:sz w:val="22"/>
          <w:szCs w:val="22"/>
        </w:rPr>
        <w:t xml:space="preserve"> de</w:t>
      </w:r>
      <w:r>
        <w:rPr>
          <w:rFonts w:ascii="Tahoma" w:hAnsi="Tahoma" w:cs="Tahoma"/>
          <w:sz w:val="22"/>
          <w:szCs w:val="22"/>
        </w:rPr>
        <w:t xml:space="preserve"> los documentos cuestionados</w:t>
      </w:r>
      <w:r w:rsidRPr="001B63BD">
        <w:rPr>
          <w:rFonts w:ascii="Tahoma" w:hAnsi="Tahoma" w:cs="Tahoma"/>
          <w:sz w:val="22"/>
          <w:szCs w:val="22"/>
        </w:rPr>
        <w:t xml:space="preserve">, es decir </w:t>
      </w:r>
      <w:r>
        <w:rPr>
          <w:rFonts w:ascii="Tahoma" w:hAnsi="Tahoma" w:cs="Tahoma"/>
          <w:sz w:val="22"/>
          <w:szCs w:val="22"/>
        </w:rPr>
        <w:t>la Superintendencia Nacional de los Registros Públicos – SUNARP, ha</w:t>
      </w:r>
      <w:r w:rsidRPr="001B63BD">
        <w:rPr>
          <w:rFonts w:ascii="Tahoma" w:hAnsi="Tahoma" w:cs="Tahoma"/>
          <w:sz w:val="22"/>
          <w:szCs w:val="22"/>
        </w:rPr>
        <w:t xml:space="preserve"> </w:t>
      </w:r>
      <w:r>
        <w:rPr>
          <w:rFonts w:ascii="Tahoma" w:hAnsi="Tahoma" w:cs="Tahoma"/>
          <w:sz w:val="22"/>
          <w:szCs w:val="22"/>
        </w:rPr>
        <w:t xml:space="preserve">observado el contenido de las Tarjetas Nº </w:t>
      </w:r>
      <w:r>
        <w:rPr>
          <w:rFonts w:ascii="Tahoma" w:eastAsia="MS Mincho" w:hAnsi="Tahoma" w:cs="Tahoma"/>
          <w:sz w:val="22"/>
          <w:szCs w:val="22"/>
          <w:lang w:val="es-ES_tradnl"/>
        </w:rPr>
        <w:t>A 2903362</w:t>
      </w:r>
      <w:r w:rsidRPr="004B5B64">
        <w:rPr>
          <w:rFonts w:ascii="Tahoma" w:eastAsia="MS Mincho" w:hAnsi="Tahoma" w:cs="Tahoma"/>
          <w:sz w:val="22"/>
          <w:szCs w:val="22"/>
          <w:lang w:val="es-ES_tradnl"/>
        </w:rPr>
        <w:t xml:space="preserve"> </w:t>
      </w:r>
      <w:r>
        <w:rPr>
          <w:rFonts w:ascii="Tahoma" w:eastAsia="MS Mincho" w:hAnsi="Tahoma" w:cs="Tahoma"/>
          <w:sz w:val="22"/>
          <w:szCs w:val="22"/>
          <w:lang w:val="es-ES_tradnl"/>
        </w:rPr>
        <w:t>del vehículo de placa de rodaje WGJ-050 y Nº A 2433273 del vehículo de placa de rodaje WGJ-050, respecto a los años de fabricación, toda vez que el año consignado en dichos documentos no corresponde al año que se indica en la partida registral de dichos vehículos</w:t>
      </w:r>
      <w:r w:rsidRPr="001B63BD">
        <w:rPr>
          <w:rFonts w:ascii="Tahoma" w:hAnsi="Tahoma" w:cs="Tahoma"/>
          <w:sz w:val="22"/>
          <w:szCs w:val="22"/>
        </w:rPr>
        <w:t>. De este modo, lo dicho anteriormente resulta elemento suficiente para desvirtuar la presunción d</w:t>
      </w:r>
      <w:r>
        <w:rPr>
          <w:rFonts w:ascii="Tahoma" w:hAnsi="Tahoma" w:cs="Tahoma"/>
          <w:sz w:val="22"/>
          <w:szCs w:val="22"/>
        </w:rPr>
        <w:t>e veracidad que recaían</w:t>
      </w:r>
      <w:r w:rsidRPr="001B63BD">
        <w:rPr>
          <w:rFonts w:ascii="Tahoma" w:hAnsi="Tahoma" w:cs="Tahoma"/>
          <w:sz w:val="22"/>
          <w:szCs w:val="22"/>
        </w:rPr>
        <w:t xml:space="preserve"> sobre los documentos cuestionados y, por tanto, concluir que constituyen documento</w:t>
      </w:r>
      <w:r>
        <w:rPr>
          <w:rFonts w:ascii="Tahoma" w:hAnsi="Tahoma" w:cs="Tahoma"/>
          <w:sz w:val="22"/>
          <w:szCs w:val="22"/>
        </w:rPr>
        <w:t>s</w:t>
      </w:r>
      <w:r w:rsidRPr="001B63BD">
        <w:rPr>
          <w:rFonts w:ascii="Tahoma" w:hAnsi="Tahoma" w:cs="Tahoma"/>
          <w:sz w:val="22"/>
          <w:szCs w:val="22"/>
        </w:rPr>
        <w:t xml:space="preserve"> falso</w:t>
      </w:r>
      <w:r>
        <w:rPr>
          <w:rFonts w:ascii="Tahoma" w:hAnsi="Tahoma" w:cs="Tahoma"/>
          <w:sz w:val="22"/>
          <w:szCs w:val="22"/>
        </w:rPr>
        <w:t>s</w:t>
      </w:r>
      <w:r w:rsidRPr="001B63BD">
        <w:rPr>
          <w:rFonts w:ascii="Tahoma" w:hAnsi="Tahoma" w:cs="Tahoma"/>
          <w:sz w:val="22"/>
          <w:szCs w:val="22"/>
        </w:rPr>
        <w:t>.</w:t>
      </w:r>
    </w:p>
    <w:p w:rsidR="00A5416C" w:rsidRDefault="00A5416C" w:rsidP="00A5416C">
      <w:pPr>
        <w:pStyle w:val="Prrafodelista"/>
        <w:rPr>
          <w:rFonts w:ascii="Tahoma" w:hAnsi="Tahoma" w:cs="Tahoma"/>
          <w:sz w:val="22"/>
          <w:szCs w:val="22"/>
        </w:rPr>
      </w:pPr>
    </w:p>
    <w:p w:rsidR="00A5416C" w:rsidRDefault="00A5416C" w:rsidP="00A5416C">
      <w:pPr>
        <w:numPr>
          <w:ilvl w:val="0"/>
          <w:numId w:val="6"/>
        </w:numPr>
        <w:ind w:left="567" w:hanging="283"/>
        <w:jc w:val="both"/>
        <w:rPr>
          <w:rFonts w:ascii="Tahoma" w:hAnsi="Tahoma" w:cs="Tahoma"/>
          <w:sz w:val="22"/>
          <w:szCs w:val="22"/>
        </w:rPr>
      </w:pPr>
      <w:r w:rsidRPr="002C177D">
        <w:rPr>
          <w:rFonts w:ascii="Tahoma" w:hAnsi="Tahoma" w:cs="Tahoma"/>
          <w:sz w:val="22"/>
          <w:szCs w:val="22"/>
        </w:rPr>
        <w:t xml:space="preserve">De este modo, teniendo en consideración la documentación actuada y la omisión de las empresas integrantes del Consorcio en la presentación de sus descargos, este Colegiado puede concluir que </w:t>
      </w:r>
      <w:r>
        <w:rPr>
          <w:rFonts w:ascii="Tahoma" w:hAnsi="Tahoma" w:cs="Tahoma"/>
          <w:sz w:val="22"/>
          <w:szCs w:val="22"/>
        </w:rPr>
        <w:t xml:space="preserve">las Tarjetas Nº </w:t>
      </w:r>
      <w:r>
        <w:rPr>
          <w:rFonts w:ascii="Tahoma" w:eastAsia="MS Mincho" w:hAnsi="Tahoma" w:cs="Tahoma"/>
          <w:sz w:val="22"/>
          <w:szCs w:val="22"/>
          <w:lang w:val="es-ES_tradnl"/>
        </w:rPr>
        <w:t>A 2903362</w:t>
      </w:r>
      <w:r w:rsidRPr="004B5B64">
        <w:rPr>
          <w:rFonts w:ascii="Tahoma" w:eastAsia="MS Mincho" w:hAnsi="Tahoma" w:cs="Tahoma"/>
          <w:sz w:val="22"/>
          <w:szCs w:val="22"/>
          <w:lang w:val="es-ES_tradnl"/>
        </w:rPr>
        <w:t xml:space="preserve"> </w:t>
      </w:r>
      <w:r>
        <w:rPr>
          <w:rFonts w:ascii="Tahoma" w:eastAsia="MS Mincho" w:hAnsi="Tahoma" w:cs="Tahoma"/>
          <w:sz w:val="22"/>
          <w:szCs w:val="22"/>
          <w:lang w:val="es-ES_tradnl"/>
        </w:rPr>
        <w:t>del vehículo de placa de rodaje WGJ-050 y Nº A 2433273 del vehículo de placa de rodaje WGJ-050</w:t>
      </w:r>
      <w:r w:rsidRPr="002C177D">
        <w:rPr>
          <w:rFonts w:ascii="Tahoma" w:hAnsi="Tahoma" w:cs="Tahoma"/>
          <w:sz w:val="22"/>
          <w:szCs w:val="22"/>
        </w:rPr>
        <w:t>, documentos que fueron</w:t>
      </w:r>
      <w:r w:rsidRPr="002C177D">
        <w:rPr>
          <w:rFonts w:ascii="Tahoma" w:hAnsi="Tahoma" w:cs="Tahoma"/>
          <w:sz w:val="22"/>
          <w:szCs w:val="22"/>
          <w:lang w:eastAsia="es-PE"/>
        </w:rPr>
        <w:t xml:space="preserve"> incluidos en su propuesta técnica, resultan ser documentos falsos.</w:t>
      </w:r>
    </w:p>
    <w:p w:rsidR="00A5416C" w:rsidRDefault="00A5416C" w:rsidP="00A5416C">
      <w:pPr>
        <w:pStyle w:val="Prrafodelista"/>
        <w:rPr>
          <w:rFonts w:ascii="Tahoma" w:hAnsi="Tahoma" w:cs="Tahoma"/>
          <w:sz w:val="22"/>
          <w:szCs w:val="22"/>
        </w:rPr>
      </w:pPr>
    </w:p>
    <w:p w:rsidR="00A5416C" w:rsidRDefault="00A5416C" w:rsidP="00A5416C">
      <w:pPr>
        <w:numPr>
          <w:ilvl w:val="0"/>
          <w:numId w:val="6"/>
        </w:numPr>
        <w:ind w:left="567" w:hanging="283"/>
        <w:jc w:val="both"/>
        <w:rPr>
          <w:rFonts w:ascii="Tahoma" w:hAnsi="Tahoma" w:cs="Tahoma"/>
          <w:sz w:val="22"/>
          <w:szCs w:val="22"/>
        </w:rPr>
      </w:pPr>
      <w:r w:rsidRPr="002C177D">
        <w:rPr>
          <w:rFonts w:ascii="Tahoma" w:hAnsi="Tahoma" w:cs="Tahoma"/>
          <w:sz w:val="22"/>
          <w:szCs w:val="22"/>
          <w:lang w:eastAsia="es-PE"/>
        </w:rPr>
        <w:t xml:space="preserve">En ese sentido, teniendo en cuenta que ha sido demostrada la falsedad de los documentos cuestionados, puede colegirse entonces que el Consorcio ha incurrido </w:t>
      </w:r>
      <w:r w:rsidRPr="002C177D">
        <w:rPr>
          <w:rFonts w:ascii="Tahoma" w:hAnsi="Tahoma" w:cs="Tahoma"/>
          <w:sz w:val="22"/>
          <w:szCs w:val="22"/>
        </w:rPr>
        <w:t xml:space="preserve">en la causal prevista en el </w:t>
      </w:r>
      <w:r w:rsidRPr="002C177D">
        <w:rPr>
          <w:rFonts w:ascii="Tahoma" w:eastAsia="MS Mincho" w:hAnsi="Tahoma" w:cs="Tahoma"/>
          <w:sz w:val="22"/>
          <w:szCs w:val="22"/>
        </w:rPr>
        <w:t>literal i) del numeral 51.1 del artículo 51 de la Ley y el literal i) del numeral 1 del artículo 237 del Reglamento</w:t>
      </w:r>
      <w:r w:rsidRPr="002C177D">
        <w:rPr>
          <w:rFonts w:ascii="Tahoma" w:hAnsi="Tahoma" w:cs="Tahoma"/>
          <w:sz w:val="22"/>
          <w:szCs w:val="22"/>
        </w:rPr>
        <w:t xml:space="preserve">. </w:t>
      </w:r>
    </w:p>
    <w:p w:rsidR="00A5416C" w:rsidRDefault="00A5416C" w:rsidP="00A5416C">
      <w:pPr>
        <w:pStyle w:val="Prrafodelista"/>
        <w:rPr>
          <w:rFonts w:ascii="Tahoma" w:hAnsi="Tahoma" w:cs="Tahoma"/>
          <w:sz w:val="22"/>
          <w:szCs w:val="22"/>
        </w:rPr>
      </w:pPr>
    </w:p>
    <w:p w:rsidR="00A5416C" w:rsidRDefault="00A5416C" w:rsidP="00A5416C">
      <w:pPr>
        <w:numPr>
          <w:ilvl w:val="0"/>
          <w:numId w:val="6"/>
        </w:numPr>
        <w:ind w:left="567" w:hanging="283"/>
        <w:jc w:val="both"/>
        <w:rPr>
          <w:rFonts w:ascii="Tahoma" w:hAnsi="Tahoma" w:cs="Tahoma"/>
          <w:sz w:val="22"/>
          <w:szCs w:val="22"/>
        </w:rPr>
      </w:pPr>
      <w:r w:rsidRPr="002C62A1">
        <w:rPr>
          <w:rFonts w:ascii="Tahoma" w:hAnsi="Tahoma" w:cs="Tahoma"/>
          <w:sz w:val="22"/>
          <w:szCs w:val="22"/>
        </w:rPr>
        <w:t>Ahora bien, el artículo 239 del Reglamento establece que las infracciones cometidas por los postores que presentaron promesa de consorcio durante su participación en el proceso de selección, se imputarán exclusivamente a la parte que las haya cometido, aplicándose sólo a ésta la sanción que hubiera lugar siempre que pueda individualizarse al infractor.</w:t>
      </w:r>
    </w:p>
    <w:p w:rsidR="00A5416C" w:rsidRPr="00281D92" w:rsidRDefault="00A5416C" w:rsidP="00A5416C">
      <w:pPr>
        <w:rPr>
          <w:rFonts w:ascii="Tahoma" w:hAnsi="Tahoma" w:cs="Tahoma"/>
          <w:sz w:val="22"/>
          <w:szCs w:val="22"/>
          <w:lang w:eastAsia="es-PE"/>
        </w:rPr>
      </w:pPr>
    </w:p>
    <w:p w:rsidR="00A5416C" w:rsidRPr="00E9729F" w:rsidRDefault="00A5416C" w:rsidP="00A5416C">
      <w:pPr>
        <w:ind w:left="567"/>
        <w:jc w:val="both"/>
        <w:rPr>
          <w:rFonts w:ascii="Tahoma" w:hAnsi="Tahoma" w:cs="Tahoma"/>
          <w:sz w:val="22"/>
          <w:szCs w:val="22"/>
        </w:rPr>
      </w:pPr>
      <w:r w:rsidRPr="00E9729F">
        <w:rPr>
          <w:rFonts w:ascii="Tahoma" w:hAnsi="Tahoma" w:cs="Tahoma"/>
          <w:sz w:val="22"/>
          <w:szCs w:val="22"/>
          <w:lang w:val="es-ES_tradnl"/>
        </w:rPr>
        <w:t>Al respecto</w:t>
      </w:r>
      <w:r w:rsidRPr="00E9729F">
        <w:rPr>
          <w:rFonts w:ascii="Tahoma" w:hAnsi="Tahoma" w:cs="Tahoma"/>
          <w:sz w:val="22"/>
          <w:szCs w:val="22"/>
        </w:rPr>
        <w:t xml:space="preserve">, cabe precisar que en el presente caso, se ha podido verificar que los documentos falsos, a saber </w:t>
      </w:r>
      <w:r>
        <w:rPr>
          <w:rFonts w:ascii="Tahoma" w:hAnsi="Tahoma" w:cs="Tahoma"/>
          <w:sz w:val="22"/>
          <w:szCs w:val="22"/>
        </w:rPr>
        <w:t xml:space="preserve">las Tarjetas Nº </w:t>
      </w:r>
      <w:r>
        <w:rPr>
          <w:rFonts w:ascii="Tahoma" w:eastAsia="MS Mincho" w:hAnsi="Tahoma" w:cs="Tahoma"/>
          <w:sz w:val="22"/>
          <w:szCs w:val="22"/>
          <w:lang w:val="es-ES_tradnl"/>
        </w:rPr>
        <w:t>A 2903362</w:t>
      </w:r>
      <w:r w:rsidRPr="004B5B64">
        <w:rPr>
          <w:rFonts w:ascii="Tahoma" w:eastAsia="MS Mincho" w:hAnsi="Tahoma" w:cs="Tahoma"/>
          <w:sz w:val="22"/>
          <w:szCs w:val="22"/>
          <w:lang w:val="es-ES_tradnl"/>
        </w:rPr>
        <w:t xml:space="preserve"> </w:t>
      </w:r>
      <w:r>
        <w:rPr>
          <w:rFonts w:ascii="Tahoma" w:eastAsia="MS Mincho" w:hAnsi="Tahoma" w:cs="Tahoma"/>
          <w:sz w:val="22"/>
          <w:szCs w:val="22"/>
          <w:lang w:val="es-ES_tradnl"/>
        </w:rPr>
        <w:t>del vehículo de placa de rodaje WGJ-050 y Nº A 2433273 del vehículo de placa de rodaje WGJ-050</w:t>
      </w:r>
      <w:r w:rsidRPr="00E9729F">
        <w:rPr>
          <w:rFonts w:ascii="Tahoma" w:hAnsi="Tahoma" w:cs="Tahoma"/>
          <w:sz w:val="22"/>
          <w:szCs w:val="22"/>
        </w:rPr>
        <w:t xml:space="preserve">, sólo están a nombre de la empresa </w:t>
      </w:r>
      <w:r w:rsidRPr="00006F97">
        <w:rPr>
          <w:rFonts w:ascii="Tahoma" w:hAnsi="Tahoma" w:cs="Tahoma"/>
          <w:sz w:val="22"/>
          <w:szCs w:val="22"/>
        </w:rPr>
        <w:t>LOGISTIC E.I.R.L.</w:t>
      </w:r>
    </w:p>
    <w:p w:rsidR="00A5416C" w:rsidRPr="00E9729F" w:rsidRDefault="00A5416C" w:rsidP="00A5416C">
      <w:pPr>
        <w:ind w:left="567"/>
        <w:jc w:val="both"/>
        <w:rPr>
          <w:rFonts w:ascii="Tahoma" w:hAnsi="Tahoma" w:cs="Tahoma"/>
          <w:sz w:val="22"/>
          <w:szCs w:val="22"/>
        </w:rPr>
      </w:pPr>
    </w:p>
    <w:p w:rsidR="00A5416C" w:rsidRDefault="00A5416C" w:rsidP="00A5416C">
      <w:pPr>
        <w:ind w:left="567"/>
        <w:jc w:val="both"/>
        <w:rPr>
          <w:rFonts w:ascii="Tahoma" w:hAnsi="Tahoma" w:cs="Tahoma"/>
          <w:sz w:val="22"/>
          <w:szCs w:val="22"/>
        </w:rPr>
      </w:pPr>
      <w:r w:rsidRPr="00E9729F">
        <w:rPr>
          <w:rFonts w:ascii="Tahoma" w:hAnsi="Tahoma" w:cs="Tahoma"/>
          <w:sz w:val="22"/>
          <w:szCs w:val="22"/>
        </w:rPr>
        <w:t xml:space="preserve">Asimismo, de la Promesa Formal de Consorcio, </w:t>
      </w:r>
      <w:r>
        <w:rPr>
          <w:rFonts w:ascii="Tahoma" w:hAnsi="Tahoma" w:cs="Tahoma"/>
          <w:sz w:val="22"/>
          <w:szCs w:val="22"/>
        </w:rPr>
        <w:t>la misma que obra en el presente expediente a fojas 150</w:t>
      </w:r>
      <w:r w:rsidRPr="00E9729F">
        <w:rPr>
          <w:rFonts w:ascii="Tahoma" w:hAnsi="Tahoma" w:cs="Tahoma"/>
          <w:sz w:val="22"/>
          <w:szCs w:val="22"/>
        </w:rPr>
        <w:t xml:space="preserve">, se puede verificar que </w:t>
      </w:r>
      <w:r>
        <w:rPr>
          <w:rFonts w:ascii="Tahoma" w:hAnsi="Tahoma" w:cs="Tahoma"/>
          <w:sz w:val="22"/>
          <w:szCs w:val="22"/>
        </w:rPr>
        <w:t xml:space="preserve">entre las obligaciones que tenía la empresa </w:t>
      </w:r>
      <w:r w:rsidRPr="00006F97">
        <w:rPr>
          <w:rFonts w:ascii="Tahoma" w:hAnsi="Tahoma" w:cs="Tahoma"/>
          <w:sz w:val="22"/>
          <w:szCs w:val="22"/>
        </w:rPr>
        <w:t>LOGISTIC E.I.R.L.</w:t>
      </w:r>
      <w:r>
        <w:rPr>
          <w:rFonts w:ascii="Tahoma" w:hAnsi="Tahoma" w:cs="Tahoma"/>
          <w:sz w:val="22"/>
          <w:szCs w:val="22"/>
        </w:rPr>
        <w:t>, era justamente la de proporcionar los vehículos cuyas tarjetas de propiedad han sido adulteradas.</w:t>
      </w:r>
    </w:p>
    <w:p w:rsidR="00A5416C" w:rsidRPr="00E9729F" w:rsidRDefault="00A5416C" w:rsidP="00A5416C">
      <w:pPr>
        <w:ind w:left="567"/>
        <w:jc w:val="both"/>
        <w:rPr>
          <w:rFonts w:ascii="Tahoma" w:hAnsi="Tahoma" w:cs="Tahoma"/>
          <w:sz w:val="22"/>
          <w:szCs w:val="22"/>
        </w:rPr>
      </w:pPr>
    </w:p>
    <w:p w:rsidR="00A5416C" w:rsidRDefault="00A5416C" w:rsidP="00A5416C">
      <w:pPr>
        <w:ind w:left="567"/>
        <w:jc w:val="both"/>
        <w:rPr>
          <w:rFonts w:ascii="Tahoma" w:hAnsi="Tahoma" w:cs="Tahoma"/>
          <w:sz w:val="22"/>
          <w:szCs w:val="22"/>
        </w:rPr>
      </w:pPr>
      <w:r w:rsidRPr="00E9729F">
        <w:rPr>
          <w:rFonts w:ascii="Tahoma" w:hAnsi="Tahoma" w:cs="Tahoma"/>
          <w:sz w:val="22"/>
          <w:szCs w:val="22"/>
        </w:rPr>
        <w:t xml:space="preserve">En tal sentido, y teniendo en consideración lo señalado anteriormente, se ha podido determinar que en el presente caso se puede individualizar al infractor, </w:t>
      </w:r>
      <w:r>
        <w:rPr>
          <w:rFonts w:ascii="Tahoma" w:hAnsi="Tahoma" w:cs="Tahoma"/>
          <w:sz w:val="22"/>
          <w:szCs w:val="22"/>
        </w:rPr>
        <w:t xml:space="preserve">es decir la empresa </w:t>
      </w:r>
      <w:r w:rsidRPr="00006F97">
        <w:rPr>
          <w:rFonts w:ascii="Tahoma" w:hAnsi="Tahoma" w:cs="Tahoma"/>
          <w:sz w:val="22"/>
          <w:szCs w:val="22"/>
        </w:rPr>
        <w:t>LOGISTIC E.I.R.L.</w:t>
      </w:r>
    </w:p>
    <w:p w:rsidR="00A5416C" w:rsidRDefault="00A5416C" w:rsidP="00A5416C">
      <w:pPr>
        <w:ind w:left="567"/>
        <w:jc w:val="both"/>
        <w:rPr>
          <w:rFonts w:ascii="Tahoma" w:hAnsi="Tahoma" w:cs="Tahoma"/>
          <w:sz w:val="22"/>
          <w:szCs w:val="22"/>
          <w:lang w:val="es-ES_tradnl" w:eastAsia="es-PE"/>
        </w:rPr>
      </w:pPr>
    </w:p>
    <w:p w:rsidR="00A5416C" w:rsidRDefault="00A5416C" w:rsidP="00A5416C">
      <w:pPr>
        <w:numPr>
          <w:ilvl w:val="0"/>
          <w:numId w:val="6"/>
        </w:numPr>
        <w:ind w:left="567" w:hanging="283"/>
        <w:jc w:val="both"/>
        <w:rPr>
          <w:rFonts w:ascii="Tahoma" w:hAnsi="Tahoma" w:cs="Tahoma"/>
          <w:sz w:val="22"/>
          <w:szCs w:val="22"/>
        </w:rPr>
      </w:pPr>
      <w:r w:rsidRPr="00281D92">
        <w:rPr>
          <w:rFonts w:ascii="Tahoma" w:hAnsi="Tahoma" w:cs="Tahoma"/>
          <w:sz w:val="22"/>
          <w:szCs w:val="22"/>
        </w:rPr>
        <w:t xml:space="preserve">En tal sentido, de conformidad </w:t>
      </w:r>
      <w:r>
        <w:rPr>
          <w:rFonts w:ascii="Tahoma" w:hAnsi="Tahoma" w:cs="Tahoma"/>
          <w:sz w:val="22"/>
          <w:szCs w:val="22"/>
        </w:rPr>
        <w:t>a lo establecido en el artículo 51 de la Ley, en concordancia con e</w:t>
      </w:r>
      <w:r w:rsidRPr="00281D92">
        <w:rPr>
          <w:rFonts w:ascii="Tahoma" w:hAnsi="Tahoma" w:cs="Tahoma"/>
          <w:sz w:val="22"/>
          <w:szCs w:val="22"/>
        </w:rPr>
        <w:t xml:space="preserve">l artículo 237 </w:t>
      </w:r>
      <w:r w:rsidRPr="00281D92">
        <w:rPr>
          <w:rFonts w:ascii="Tahoma" w:eastAsia="MS Mincho" w:hAnsi="Tahoma" w:cs="Tahoma"/>
          <w:sz w:val="22"/>
          <w:szCs w:val="22"/>
        </w:rPr>
        <w:t xml:space="preserve">del Reglamento, </w:t>
      </w:r>
      <w:r w:rsidRPr="00281D92">
        <w:rPr>
          <w:rFonts w:ascii="Tahoma" w:hAnsi="Tahoma" w:cs="Tahoma"/>
          <w:sz w:val="22"/>
          <w:szCs w:val="22"/>
        </w:rPr>
        <w:t xml:space="preserve">los proveedores, participantes, postores o contratistas que incurran en las causales establecidas en los literales a), b), c), d) e), f) h), i), j y k) serán sancionados con inhabilitación temporal para contratar con el Estado por un período no menor a un (1) año ni mayor de tres (3) años. </w:t>
      </w:r>
    </w:p>
    <w:p w:rsidR="00A5416C" w:rsidRPr="00C2429F" w:rsidRDefault="00A5416C" w:rsidP="00A5416C">
      <w:pPr>
        <w:ind w:left="567"/>
        <w:jc w:val="both"/>
        <w:rPr>
          <w:rFonts w:ascii="Tahoma" w:hAnsi="Tahoma" w:cs="Tahoma"/>
          <w:sz w:val="22"/>
          <w:szCs w:val="22"/>
        </w:rPr>
      </w:pPr>
    </w:p>
    <w:p w:rsidR="00A5416C" w:rsidRPr="007A2F89" w:rsidRDefault="00A5416C" w:rsidP="00A5416C">
      <w:pPr>
        <w:ind w:left="567"/>
        <w:jc w:val="both"/>
        <w:rPr>
          <w:rFonts w:ascii="Tahoma" w:hAnsi="Tahoma" w:cs="Tahoma"/>
          <w:sz w:val="22"/>
          <w:szCs w:val="22"/>
        </w:rPr>
      </w:pPr>
      <w:r w:rsidRPr="007A2F89">
        <w:rPr>
          <w:rFonts w:ascii="Tahoma" w:hAnsi="Tahoma" w:cs="Tahoma"/>
          <w:sz w:val="22"/>
          <w:szCs w:val="22"/>
        </w:rPr>
        <w:t xml:space="preserve">Asimismo, la sanción que se impondrá deberá ser graduada dentro de los límites </w:t>
      </w:r>
      <w:r>
        <w:rPr>
          <w:rFonts w:ascii="Tahoma" w:hAnsi="Tahoma" w:cs="Tahoma"/>
          <w:sz w:val="22"/>
          <w:szCs w:val="22"/>
        </w:rPr>
        <w:t>dispuestos en dichos artículos</w:t>
      </w:r>
      <w:r w:rsidRPr="007A2F89">
        <w:rPr>
          <w:rFonts w:ascii="Tahoma" w:hAnsi="Tahoma" w:cs="Tahoma"/>
          <w:sz w:val="22"/>
          <w:szCs w:val="22"/>
        </w:rPr>
        <w:t>, para lo cual deberá tenerse en cuenta lo dispuesto por el artículo 245</w:t>
      </w:r>
      <w:r w:rsidRPr="007A2F89">
        <w:rPr>
          <w:rStyle w:val="Refdenotaalpie"/>
          <w:rFonts w:ascii="Tahoma" w:eastAsia="Batang" w:hAnsi="Tahoma" w:cs="Tahoma"/>
          <w:sz w:val="22"/>
          <w:szCs w:val="22"/>
        </w:rPr>
        <w:footnoteReference w:id="5"/>
      </w:r>
      <w:r w:rsidRPr="007A2F89">
        <w:rPr>
          <w:rFonts w:ascii="Tahoma" w:hAnsi="Tahoma" w:cs="Tahoma"/>
          <w:sz w:val="22"/>
          <w:szCs w:val="22"/>
        </w:rPr>
        <w:t xml:space="preserve"> del Reglamento.</w:t>
      </w:r>
    </w:p>
    <w:p w:rsidR="00A5416C" w:rsidRDefault="00A5416C" w:rsidP="00A5416C">
      <w:pPr>
        <w:pStyle w:val="Prrafodelista"/>
        <w:jc w:val="both"/>
        <w:rPr>
          <w:rFonts w:ascii="Tahoma" w:hAnsi="Tahoma" w:cs="Tahoma"/>
          <w:sz w:val="22"/>
          <w:szCs w:val="22"/>
        </w:rPr>
      </w:pPr>
    </w:p>
    <w:p w:rsidR="00A5416C" w:rsidRPr="00190E96" w:rsidRDefault="00A5416C" w:rsidP="00A5416C">
      <w:pPr>
        <w:numPr>
          <w:ilvl w:val="0"/>
          <w:numId w:val="6"/>
        </w:numPr>
        <w:ind w:left="567" w:hanging="283"/>
        <w:jc w:val="both"/>
        <w:rPr>
          <w:rFonts w:ascii="Tahoma" w:hAnsi="Tahoma" w:cs="Tahoma"/>
          <w:sz w:val="22"/>
          <w:szCs w:val="22"/>
        </w:rPr>
      </w:pPr>
      <w:r w:rsidRPr="00C2429F">
        <w:rPr>
          <w:rFonts w:ascii="Tahoma" w:hAnsi="Tahoma" w:cs="Tahoma"/>
          <w:sz w:val="22"/>
          <w:szCs w:val="22"/>
        </w:rPr>
        <w:t xml:space="preserve">Atendiendo a dichos criterios, </w:t>
      </w:r>
      <w:r w:rsidRPr="00C2429F">
        <w:rPr>
          <w:rFonts w:ascii="Tahoma" w:hAnsi="Tahoma" w:cs="Tahoma"/>
          <w:color w:val="000000" w:themeColor="text1"/>
          <w:sz w:val="22"/>
          <w:szCs w:val="22"/>
        </w:rPr>
        <w:t xml:space="preserve">debe tenerse en cuenta que respecto a la naturaleza de la infracción, reviste de una considerable gravedad pues vulnera el </w:t>
      </w:r>
      <w:r w:rsidRPr="00C2429F">
        <w:rPr>
          <w:rFonts w:ascii="Tahoma" w:hAnsi="Tahoma" w:cs="Tahoma"/>
          <w:i/>
          <w:color w:val="000000" w:themeColor="text1"/>
          <w:sz w:val="22"/>
          <w:szCs w:val="22"/>
        </w:rPr>
        <w:t>Principio de Moralidad</w:t>
      </w:r>
      <w:r w:rsidRPr="00C2429F">
        <w:rPr>
          <w:rFonts w:ascii="Tahoma" w:hAnsi="Tahoma" w:cs="Tahoma"/>
          <w:color w:val="000000" w:themeColor="text1"/>
          <w:sz w:val="22"/>
          <w:szCs w:val="22"/>
        </w:rPr>
        <w:t xml:space="preserve"> que debe regir a todos los actos referidos a los procesos de contratación de las Entidades, conforme a lo prescrito en el literal b) del artículo 4 de la Ley.</w:t>
      </w:r>
    </w:p>
    <w:p w:rsidR="00190E96" w:rsidRPr="00DF4F44" w:rsidRDefault="00190E96" w:rsidP="00190E96">
      <w:pPr>
        <w:ind w:left="567"/>
        <w:jc w:val="both"/>
        <w:rPr>
          <w:rFonts w:ascii="Tahoma" w:hAnsi="Tahoma" w:cs="Tahoma"/>
          <w:sz w:val="22"/>
          <w:szCs w:val="22"/>
        </w:rPr>
      </w:pPr>
    </w:p>
    <w:p w:rsidR="00A5416C" w:rsidRPr="00DF4F44" w:rsidRDefault="00A5416C" w:rsidP="00A5416C">
      <w:pPr>
        <w:numPr>
          <w:ilvl w:val="0"/>
          <w:numId w:val="6"/>
        </w:numPr>
        <w:ind w:left="567" w:hanging="283"/>
        <w:jc w:val="both"/>
        <w:rPr>
          <w:rFonts w:ascii="Tahoma" w:hAnsi="Tahoma" w:cs="Tahoma"/>
          <w:sz w:val="22"/>
          <w:szCs w:val="22"/>
        </w:rPr>
      </w:pPr>
      <w:r w:rsidRPr="00DF4F44">
        <w:rPr>
          <w:rFonts w:ascii="Tahoma" w:hAnsi="Tahoma" w:cs="Tahoma"/>
          <w:color w:val="000000" w:themeColor="text1"/>
          <w:sz w:val="22"/>
          <w:szCs w:val="22"/>
        </w:rPr>
        <w:t>Ahora bien, conforme fluye de los antecedentes, debe tenerse en cuenta que la inclusión de los documentos cuestionados representó una ventaja ilícita sobre los demás postores, ventaja que incluso le permitió ganar el proceso de selección; de tal modo que la participación y posterior obtención de la buena pro por parte de la empresa denunciada gracias a dichos documentos originó la presentación del recurso de apelación, lo cual originó retraso en la contratación del servicio requerido, demora que sí constituye perjuicio hacia la Entidad, ya que ha dilatado innecesariamente la atención de sus necesidades, razón por la cual debe considerarse que si ha existido un daño en contra de ella.</w:t>
      </w:r>
    </w:p>
    <w:p w:rsidR="00A5416C" w:rsidRPr="00DF4F44" w:rsidRDefault="00A5416C" w:rsidP="00A5416C">
      <w:pPr>
        <w:ind w:left="567"/>
        <w:jc w:val="both"/>
        <w:rPr>
          <w:rFonts w:ascii="Tahoma" w:hAnsi="Tahoma" w:cs="Tahoma"/>
          <w:sz w:val="22"/>
          <w:szCs w:val="22"/>
        </w:rPr>
      </w:pPr>
    </w:p>
    <w:p w:rsidR="00A5416C" w:rsidRDefault="00A5416C" w:rsidP="00A5416C">
      <w:pPr>
        <w:numPr>
          <w:ilvl w:val="0"/>
          <w:numId w:val="6"/>
        </w:numPr>
        <w:ind w:left="567" w:hanging="283"/>
        <w:jc w:val="both"/>
        <w:rPr>
          <w:rFonts w:ascii="Tahoma" w:hAnsi="Tahoma" w:cs="Tahoma"/>
          <w:sz w:val="22"/>
          <w:szCs w:val="22"/>
        </w:rPr>
      </w:pPr>
      <w:r w:rsidRPr="00DF4F44">
        <w:rPr>
          <w:rFonts w:ascii="Tahoma" w:hAnsi="Tahoma" w:cs="Tahoma"/>
          <w:sz w:val="22"/>
          <w:szCs w:val="22"/>
        </w:rPr>
        <w:t>Asimismo, respecto de la conducta procesal, conviene precisar que durante la sustanciación del presente procedimiento administrativo sancionador, no se han presentado los descargos dentro del plazo concedido, situación que se mantiene hasta la fecha de emisión de la presente resolución.</w:t>
      </w:r>
      <w:r w:rsidRPr="00DF4F44">
        <w:rPr>
          <w:rFonts w:ascii="Tahoma" w:hAnsi="Tahoma" w:cs="Tahoma"/>
          <w:sz w:val="22"/>
          <w:szCs w:val="22"/>
          <w:lang w:eastAsia="es-PE"/>
        </w:rPr>
        <w:t xml:space="preserve"> </w:t>
      </w:r>
    </w:p>
    <w:p w:rsidR="00A5416C" w:rsidRDefault="00A5416C" w:rsidP="00A5416C">
      <w:pPr>
        <w:pStyle w:val="Prrafodelista"/>
        <w:rPr>
          <w:rFonts w:ascii="Tahoma" w:hAnsi="Tahoma" w:cs="Tahoma"/>
          <w:sz w:val="22"/>
          <w:szCs w:val="22"/>
        </w:rPr>
      </w:pPr>
    </w:p>
    <w:p w:rsidR="00A5416C" w:rsidRDefault="00A5416C" w:rsidP="00A5416C">
      <w:pPr>
        <w:numPr>
          <w:ilvl w:val="0"/>
          <w:numId w:val="6"/>
        </w:numPr>
        <w:ind w:left="567" w:hanging="283"/>
        <w:jc w:val="both"/>
        <w:rPr>
          <w:rFonts w:ascii="Tahoma" w:hAnsi="Tahoma" w:cs="Tahoma"/>
          <w:sz w:val="22"/>
          <w:szCs w:val="22"/>
        </w:rPr>
      </w:pPr>
      <w:r w:rsidRPr="006F00C7">
        <w:rPr>
          <w:rFonts w:ascii="Tahoma" w:hAnsi="Tahoma" w:cs="Tahoma"/>
          <w:sz w:val="22"/>
          <w:szCs w:val="22"/>
        </w:rPr>
        <w:lastRenderedPageBreak/>
        <w:t xml:space="preserve">Así también, respecto de las condiciones del infractor, debemos tener presente que la empresa LOGISTIC E.I.R.L., </w:t>
      </w:r>
      <w:r w:rsidRPr="006F00C7">
        <w:rPr>
          <w:rFonts w:ascii="Tahoma" w:eastAsia="MS Mincho" w:hAnsi="Tahoma" w:cs="Tahoma"/>
          <w:sz w:val="22"/>
          <w:szCs w:val="22"/>
        </w:rPr>
        <w:t>integrante del Consorcio,</w:t>
      </w:r>
      <w:r w:rsidRPr="006F00C7">
        <w:rPr>
          <w:rFonts w:ascii="Tahoma" w:hAnsi="Tahoma" w:cs="Tahoma"/>
          <w:sz w:val="22"/>
          <w:szCs w:val="22"/>
        </w:rPr>
        <w:t xml:space="preserve"> ha sido sancionado con anterioridad por este Tribunal, mediante Resolución Nº </w:t>
      </w:r>
      <w:r w:rsidRPr="006F00C7">
        <w:rPr>
          <w:rFonts w:ascii="Tahoma" w:hAnsi="Tahoma" w:cs="Tahoma"/>
          <w:color w:val="000000" w:themeColor="text1"/>
          <w:sz w:val="22"/>
          <w:szCs w:val="22"/>
        </w:rPr>
        <w:t>039-2011-TC</w:t>
      </w:r>
      <w:r>
        <w:rPr>
          <w:rFonts w:ascii="Tahoma" w:hAnsi="Tahoma" w:cs="Tahoma"/>
          <w:color w:val="000000" w:themeColor="text1"/>
          <w:sz w:val="22"/>
          <w:szCs w:val="22"/>
        </w:rPr>
        <w:t>-S3</w:t>
      </w:r>
      <w:r w:rsidRPr="006F00C7">
        <w:rPr>
          <w:rFonts w:ascii="Tahoma" w:hAnsi="Tahoma" w:cs="Tahoma"/>
          <w:color w:val="000000" w:themeColor="text1"/>
          <w:sz w:val="22"/>
          <w:szCs w:val="22"/>
        </w:rPr>
        <w:t>, por el mismo ilícito administrativo</w:t>
      </w:r>
      <w:r w:rsidRPr="006F00C7">
        <w:rPr>
          <w:rFonts w:ascii="Tahoma" w:hAnsi="Tahoma" w:cs="Tahoma"/>
          <w:sz w:val="22"/>
          <w:szCs w:val="22"/>
        </w:rPr>
        <w:t>, hecho que debe ser considerado como agravante al momento de graduar la presente sanción.</w:t>
      </w:r>
    </w:p>
    <w:p w:rsidR="00A5416C" w:rsidRDefault="00A5416C" w:rsidP="00A5416C">
      <w:pPr>
        <w:pStyle w:val="Prrafodelista"/>
        <w:rPr>
          <w:rFonts w:ascii="Tahoma" w:hAnsi="Tahoma" w:cs="Tahoma"/>
          <w:sz w:val="22"/>
          <w:szCs w:val="22"/>
        </w:rPr>
      </w:pPr>
    </w:p>
    <w:p w:rsidR="00A5416C" w:rsidRDefault="00A5416C" w:rsidP="00A5416C">
      <w:pPr>
        <w:numPr>
          <w:ilvl w:val="0"/>
          <w:numId w:val="6"/>
        </w:numPr>
        <w:ind w:left="567" w:hanging="283"/>
        <w:jc w:val="both"/>
        <w:rPr>
          <w:rFonts w:ascii="Tahoma" w:hAnsi="Tahoma" w:cs="Tahoma"/>
          <w:sz w:val="22"/>
          <w:szCs w:val="22"/>
        </w:rPr>
      </w:pPr>
      <w:r w:rsidRPr="001F2BA6">
        <w:rPr>
          <w:rFonts w:ascii="Tahoma" w:hAnsi="Tahoma" w:cs="Tahoma"/>
          <w:sz w:val="22"/>
          <w:szCs w:val="22"/>
        </w:rPr>
        <w:t xml:space="preserve">Finalmente, resulta importante traer a colación el </w:t>
      </w:r>
      <w:r w:rsidRPr="001F2BA6">
        <w:rPr>
          <w:rFonts w:ascii="Tahoma" w:hAnsi="Tahoma" w:cs="Tahoma"/>
          <w:i/>
          <w:sz w:val="22"/>
          <w:szCs w:val="22"/>
        </w:rPr>
        <w:t>Principio de Razonabilidad</w:t>
      </w:r>
      <w:r w:rsidRPr="001F2BA6">
        <w:rPr>
          <w:rFonts w:ascii="Tahoma" w:hAnsi="Tahoma" w:cs="Tahoma"/>
          <w:sz w:val="22"/>
          <w:szCs w:val="22"/>
        </w:rPr>
        <w:t xml:space="preserve"> consagrado en el numeral 3 del artículo 230 de la Ley del Procedimiento Administrativo General, por medio del cual las decisiones de la autoridad administrativa que impongan sanciones o establezcan restricciones a los administrados deben adoptarse dentro de los límites de la facultad atribuida y manteniendo debida proporción entre los medios a emplear y los fines públicos que deba tutelar, a fin que respondan a lo estrictamente necesario para la satisfacción de su cometido.</w:t>
      </w:r>
    </w:p>
    <w:p w:rsidR="00A5416C" w:rsidRDefault="00A5416C" w:rsidP="00A5416C">
      <w:pPr>
        <w:pStyle w:val="Prrafodelista"/>
        <w:rPr>
          <w:rFonts w:ascii="Tahoma" w:hAnsi="Tahoma" w:cs="Tahoma"/>
          <w:sz w:val="22"/>
          <w:szCs w:val="22"/>
        </w:rPr>
      </w:pPr>
    </w:p>
    <w:p w:rsidR="00A5416C" w:rsidRDefault="00A5416C" w:rsidP="00A5416C">
      <w:pPr>
        <w:numPr>
          <w:ilvl w:val="0"/>
          <w:numId w:val="6"/>
        </w:numPr>
        <w:ind w:left="567" w:hanging="283"/>
        <w:jc w:val="both"/>
        <w:rPr>
          <w:rFonts w:ascii="Tahoma" w:hAnsi="Tahoma" w:cs="Tahoma"/>
          <w:sz w:val="22"/>
          <w:szCs w:val="22"/>
        </w:rPr>
      </w:pPr>
      <w:r w:rsidRPr="001F2BA6">
        <w:rPr>
          <w:rFonts w:ascii="Tahoma" w:hAnsi="Tahoma" w:cs="Tahoma"/>
          <w:sz w:val="22"/>
          <w:szCs w:val="22"/>
        </w:rPr>
        <w:t xml:space="preserve">Por lo antes expuesto, sin que medien circunstancias adicionales que permitan atenuar la responsabilidad de corresponde imponerle a la empresa </w:t>
      </w:r>
      <w:r w:rsidRPr="006F00C7">
        <w:rPr>
          <w:rFonts w:ascii="Tahoma" w:hAnsi="Tahoma" w:cs="Tahoma"/>
          <w:sz w:val="22"/>
          <w:szCs w:val="22"/>
        </w:rPr>
        <w:t>LOGISTIC E.I.R.L.</w:t>
      </w:r>
      <w:r w:rsidRPr="001F2BA6">
        <w:rPr>
          <w:rFonts w:ascii="Tahoma" w:eastAsia="MS Mincho" w:hAnsi="Tahoma" w:cs="Tahoma"/>
          <w:sz w:val="22"/>
          <w:szCs w:val="22"/>
        </w:rPr>
        <w:t xml:space="preserve"> la</w:t>
      </w:r>
      <w:r w:rsidRPr="001F2BA6">
        <w:rPr>
          <w:rFonts w:ascii="Tahoma" w:hAnsi="Tahoma" w:cs="Tahoma"/>
          <w:sz w:val="22"/>
          <w:szCs w:val="22"/>
        </w:rPr>
        <w:t xml:space="preserve"> sanción administrativa de inhabilitación temporal en sus derechos para participar en procesos de selección y contratar con el Est</w:t>
      </w:r>
      <w:r>
        <w:rPr>
          <w:rFonts w:ascii="Tahoma" w:hAnsi="Tahoma" w:cs="Tahoma"/>
          <w:sz w:val="22"/>
          <w:szCs w:val="22"/>
        </w:rPr>
        <w:t>ado, por el periodo de catorce (14</w:t>
      </w:r>
      <w:r w:rsidRPr="001F2BA6">
        <w:rPr>
          <w:rFonts w:ascii="Tahoma" w:hAnsi="Tahoma" w:cs="Tahoma"/>
          <w:sz w:val="22"/>
          <w:szCs w:val="22"/>
        </w:rPr>
        <w:t>) meses.</w:t>
      </w:r>
    </w:p>
    <w:p w:rsidR="00A5416C" w:rsidRDefault="00A5416C" w:rsidP="00A5416C">
      <w:pPr>
        <w:pStyle w:val="Prrafodelista"/>
        <w:rPr>
          <w:rFonts w:ascii="Tahoma" w:hAnsi="Tahoma" w:cs="Tahoma"/>
          <w:sz w:val="22"/>
          <w:szCs w:val="22"/>
        </w:rPr>
      </w:pPr>
    </w:p>
    <w:p w:rsidR="00A5416C" w:rsidRPr="001F2BA6" w:rsidRDefault="00A5416C" w:rsidP="00A5416C">
      <w:pPr>
        <w:numPr>
          <w:ilvl w:val="0"/>
          <w:numId w:val="6"/>
        </w:numPr>
        <w:ind w:left="567" w:hanging="283"/>
        <w:jc w:val="both"/>
        <w:rPr>
          <w:rFonts w:ascii="Tahoma" w:hAnsi="Tahoma" w:cs="Tahoma"/>
          <w:sz w:val="22"/>
          <w:szCs w:val="22"/>
        </w:rPr>
      </w:pPr>
      <w:r w:rsidRPr="001F2BA6">
        <w:rPr>
          <w:rFonts w:ascii="Tahoma" w:hAnsi="Tahoma" w:cs="Tahoma"/>
          <w:sz w:val="22"/>
          <w:szCs w:val="22"/>
        </w:rPr>
        <w:t>Finalmente, es pertinente indicar que la falsificación de documentos constituye un ilícito penal, previsto y sancionado en el artículo 427 del Código Penal</w:t>
      </w:r>
      <w:r w:rsidRPr="001F2BA6">
        <w:rPr>
          <w:rStyle w:val="Refdenotaalpie"/>
          <w:rFonts w:ascii="Tahoma" w:hAnsi="Tahoma" w:cs="Tahoma"/>
          <w:sz w:val="22"/>
          <w:szCs w:val="22"/>
        </w:rPr>
        <w:footnoteReference w:id="6"/>
      </w:r>
      <w:r w:rsidRPr="001F2BA6">
        <w:rPr>
          <w:rFonts w:ascii="Tahoma" w:hAnsi="Tahoma" w:cs="Tahoma"/>
          <w:sz w:val="22"/>
          <w:szCs w:val="22"/>
        </w:rPr>
        <w:t>, el cual tutela como bien jurídico la fe pública y la funcionalidad del documento en el tráfico jurídico y trata de evitar perjuicios que afecten la confiabilidad especialmente en las adquisiciones que realiza el Estado. Por tanto, debe ponerse en conocimiento del Presidente del OSCE los hechos expuestos para que proceda conforme a sus atribuciones.</w:t>
      </w:r>
    </w:p>
    <w:p w:rsidR="00A5416C" w:rsidRPr="00524317" w:rsidRDefault="00A5416C" w:rsidP="00A5416C">
      <w:pPr>
        <w:jc w:val="both"/>
        <w:rPr>
          <w:rFonts w:ascii="Tahoma" w:hAnsi="Tahoma" w:cs="Tahoma"/>
          <w:sz w:val="22"/>
          <w:szCs w:val="22"/>
        </w:rPr>
      </w:pPr>
    </w:p>
    <w:p w:rsidR="00A5416C" w:rsidRDefault="00A5416C" w:rsidP="00A5416C">
      <w:pPr>
        <w:tabs>
          <w:tab w:val="left" w:pos="3544"/>
          <w:tab w:val="left" w:pos="7230"/>
          <w:tab w:val="left" w:pos="8505"/>
        </w:tabs>
        <w:ind w:right="-486" w:firstLine="567"/>
        <w:jc w:val="both"/>
        <w:rPr>
          <w:rFonts w:ascii="Tahoma" w:eastAsiaTheme="minorHAnsi" w:hAnsi="Tahoma" w:cs="Tahoma"/>
          <w:color w:val="000000"/>
          <w:sz w:val="22"/>
          <w:szCs w:val="22"/>
        </w:rPr>
      </w:pPr>
      <w:r w:rsidRPr="00BC0DA0">
        <w:rPr>
          <w:rFonts w:ascii="Tahoma" w:hAnsi="Tahoma" w:cs="Tahoma"/>
          <w:sz w:val="22"/>
          <w:szCs w:val="22"/>
        </w:rPr>
        <w:t xml:space="preserve">Por estos fundamentos, </w:t>
      </w:r>
      <w:r w:rsidRPr="00BC0DA0">
        <w:rPr>
          <w:rFonts w:ascii="Tahoma" w:hAnsi="Tahoma" w:cs="Tahoma"/>
          <w:color w:val="000000"/>
          <w:sz w:val="22"/>
          <w:szCs w:val="22"/>
        </w:rPr>
        <w:t>de conformidad con el inf</w:t>
      </w:r>
      <w:r w:rsidRPr="00BC0DA0">
        <w:rPr>
          <w:rFonts w:ascii="Tahoma" w:eastAsia="Calibri" w:hAnsi="Tahoma" w:cs="Tahoma"/>
          <w:color w:val="000000"/>
          <w:sz w:val="22"/>
          <w:szCs w:val="22"/>
        </w:rPr>
        <w:t xml:space="preserve">orme de la Vocal Ponente Dra. Ada Rosa Basulto Liewald y la intervención de los Señores Vocales </w:t>
      </w:r>
      <w:r w:rsidRPr="00BC0DA0">
        <w:rPr>
          <w:rFonts w:ascii="Tahoma" w:eastAsiaTheme="minorHAnsi" w:hAnsi="Tahoma" w:cs="Tahoma"/>
          <w:color w:val="000000"/>
          <w:sz w:val="22"/>
          <w:szCs w:val="22"/>
        </w:rPr>
        <w:t xml:space="preserve">Dr. Carlos Vicente Navas Rondón y </w:t>
      </w:r>
      <w:r w:rsidRPr="00BC0DA0">
        <w:rPr>
          <w:rFonts w:ascii="Tahoma" w:eastAsia="Calibri" w:hAnsi="Tahoma" w:cs="Tahoma"/>
          <w:color w:val="000000"/>
          <w:sz w:val="22"/>
          <w:szCs w:val="22"/>
        </w:rPr>
        <w:t xml:space="preserve">Dra. Janette Elke Ramírez Maynetto; </w:t>
      </w:r>
      <w:r w:rsidRPr="00BC0DA0">
        <w:rPr>
          <w:rFonts w:ascii="Tahoma" w:eastAsiaTheme="minorHAnsi" w:hAnsi="Tahoma" w:cs="Tahoma"/>
          <w:color w:val="000000"/>
          <w:sz w:val="22"/>
          <w:szCs w:val="22"/>
        </w:rPr>
        <w:t>atendiendo a la reconformación de la Primera Sala del Trib</w:t>
      </w:r>
      <w:r>
        <w:rPr>
          <w:rFonts w:ascii="Tahoma" w:eastAsiaTheme="minorHAnsi" w:hAnsi="Tahoma" w:cs="Tahoma"/>
          <w:color w:val="000000"/>
          <w:sz w:val="22"/>
          <w:szCs w:val="22"/>
        </w:rPr>
        <w:t>unal de Contrataciones</w:t>
      </w:r>
      <w:r w:rsidRPr="00BC0DA0">
        <w:rPr>
          <w:rFonts w:ascii="Tahoma" w:eastAsiaTheme="minorHAnsi" w:hAnsi="Tahoma" w:cs="Tahoma"/>
          <w:color w:val="000000"/>
          <w:sz w:val="22"/>
          <w:szCs w:val="22"/>
        </w:rPr>
        <w:t xml:space="preserve"> del Estado, según lo dispuesto en la Resolución № 103-2011-OSCE/PRE, expedida el 15 de febrero de 2011; y, en ejercicio de las facultades conferidas en los artículos 51 y 63 de la Ley de Contrataciones del Estado, aprobada por Decreto Legislativo № </w:t>
      </w:r>
      <w:r>
        <w:rPr>
          <w:rFonts w:ascii="Tahoma" w:eastAsiaTheme="minorHAnsi" w:hAnsi="Tahoma" w:cs="Tahoma"/>
          <w:color w:val="000000"/>
          <w:sz w:val="22"/>
          <w:szCs w:val="22"/>
        </w:rPr>
        <w:t>1017</w:t>
      </w:r>
      <w:r w:rsidRPr="00BC0DA0">
        <w:rPr>
          <w:rFonts w:ascii="Tahoma" w:eastAsiaTheme="minorHAnsi" w:hAnsi="Tahoma" w:cs="Tahoma"/>
          <w:color w:val="000000"/>
          <w:sz w:val="22"/>
          <w:szCs w:val="22"/>
        </w:rPr>
        <w:t xml:space="preserve"> y los artículos 17 y 18 del Reglamento de Organización y Funciones del OSCE, aprobado por Decreto Supremo № 006-2009-EF, analizados los antecedentes y luego de agotado el debate</w:t>
      </w:r>
      <w:r>
        <w:rPr>
          <w:rFonts w:ascii="Tahoma" w:eastAsiaTheme="minorHAnsi" w:hAnsi="Tahoma" w:cs="Tahoma"/>
          <w:color w:val="000000"/>
          <w:sz w:val="22"/>
          <w:szCs w:val="22"/>
        </w:rPr>
        <w:t xml:space="preserve"> correspondiente, por unanimidad</w:t>
      </w:r>
    </w:p>
    <w:p w:rsidR="00A5416C" w:rsidRDefault="00A5416C" w:rsidP="00A5416C">
      <w:pPr>
        <w:ind w:firstLine="426"/>
        <w:jc w:val="both"/>
        <w:rPr>
          <w:rFonts w:ascii="Tahoma" w:hAnsi="Tahoma" w:cs="Tahoma"/>
          <w:sz w:val="22"/>
          <w:szCs w:val="22"/>
        </w:rPr>
      </w:pPr>
    </w:p>
    <w:p w:rsidR="00A5416C" w:rsidRDefault="00A5416C" w:rsidP="00A5416C">
      <w:pPr>
        <w:ind w:firstLine="426"/>
        <w:jc w:val="both"/>
        <w:rPr>
          <w:rFonts w:ascii="Tahoma" w:hAnsi="Tahoma" w:cs="Tahoma"/>
          <w:sz w:val="22"/>
          <w:szCs w:val="22"/>
        </w:rPr>
      </w:pPr>
    </w:p>
    <w:p w:rsidR="00A5416C" w:rsidRPr="00EF6D22" w:rsidRDefault="00A5416C" w:rsidP="00A5416C">
      <w:pPr>
        <w:ind w:firstLine="426"/>
        <w:jc w:val="both"/>
        <w:rPr>
          <w:rFonts w:ascii="Tahoma" w:hAnsi="Tahoma" w:cs="Tahoma"/>
          <w:sz w:val="22"/>
          <w:szCs w:val="22"/>
        </w:rPr>
      </w:pPr>
    </w:p>
    <w:p w:rsidR="00A5416C" w:rsidRPr="00EF6D22" w:rsidRDefault="00A5416C" w:rsidP="00A5416C">
      <w:pPr>
        <w:ind w:firstLine="567"/>
        <w:jc w:val="both"/>
        <w:rPr>
          <w:rFonts w:ascii="Tahoma" w:hAnsi="Tahoma" w:cs="Tahoma"/>
          <w:b/>
          <w:sz w:val="22"/>
          <w:szCs w:val="22"/>
        </w:rPr>
      </w:pPr>
      <w:r w:rsidRPr="00EF6D22">
        <w:rPr>
          <w:rFonts w:ascii="Tahoma" w:hAnsi="Tahoma" w:cs="Tahoma"/>
          <w:b/>
          <w:sz w:val="22"/>
          <w:szCs w:val="22"/>
        </w:rPr>
        <w:t xml:space="preserve">LA SALA RESUELVE: </w:t>
      </w:r>
    </w:p>
    <w:p w:rsidR="00A5416C" w:rsidRPr="00EF6D22" w:rsidRDefault="00A5416C" w:rsidP="00A5416C">
      <w:pPr>
        <w:jc w:val="both"/>
        <w:rPr>
          <w:rFonts w:ascii="Tahoma" w:hAnsi="Tahoma" w:cs="Tahoma"/>
          <w:snapToGrid w:val="0"/>
          <w:sz w:val="22"/>
          <w:szCs w:val="22"/>
        </w:rPr>
      </w:pPr>
    </w:p>
    <w:p w:rsidR="00A5416C" w:rsidRPr="007A2F89" w:rsidRDefault="00204421" w:rsidP="00A5416C">
      <w:pPr>
        <w:pStyle w:val="Prrafodelista"/>
        <w:widowControl/>
        <w:numPr>
          <w:ilvl w:val="0"/>
          <w:numId w:val="7"/>
        </w:numPr>
        <w:suppressAutoHyphens w:val="0"/>
        <w:ind w:left="567" w:hanging="567"/>
        <w:jc w:val="both"/>
        <w:rPr>
          <w:rFonts w:ascii="Tahoma" w:hAnsi="Tahoma" w:cs="Tahoma"/>
          <w:sz w:val="22"/>
          <w:szCs w:val="22"/>
        </w:rPr>
      </w:pPr>
      <w:r>
        <w:rPr>
          <w:rFonts w:ascii="Tahoma" w:hAnsi="Tahoma" w:cs="Tahoma"/>
          <w:sz w:val="22"/>
          <w:szCs w:val="22"/>
        </w:rPr>
        <w:t>SANCIONAR a la empresa</w:t>
      </w:r>
      <w:r w:rsidR="00A5416C" w:rsidRPr="00006F97">
        <w:rPr>
          <w:rFonts w:ascii="Tahoma" w:hAnsi="Tahoma" w:cs="Tahoma"/>
          <w:sz w:val="22"/>
          <w:szCs w:val="22"/>
        </w:rPr>
        <w:t xml:space="preserve"> LOGISTIC E.I.R.L. </w:t>
      </w:r>
      <w:r w:rsidR="00A5416C">
        <w:rPr>
          <w:rFonts w:ascii="Tahoma" w:hAnsi="Tahoma" w:cs="Tahoma"/>
          <w:sz w:val="22"/>
          <w:szCs w:val="22"/>
        </w:rPr>
        <w:t>con catorce (14</w:t>
      </w:r>
      <w:r w:rsidR="00A5416C" w:rsidRPr="007A2F89">
        <w:rPr>
          <w:rFonts w:ascii="Tahoma" w:hAnsi="Tahoma" w:cs="Tahoma"/>
          <w:sz w:val="22"/>
          <w:szCs w:val="22"/>
        </w:rPr>
        <w:t>) meses de inhabilitación temporal para participar en procesos de selección y contratar con el Estado por la comisión de la infracción tipificada</w:t>
      </w:r>
      <w:r w:rsidR="00A5416C" w:rsidRPr="007A2F89">
        <w:rPr>
          <w:rFonts w:ascii="Tahoma" w:eastAsia="MS Mincho" w:hAnsi="Tahoma" w:cs="Tahoma"/>
          <w:sz w:val="22"/>
          <w:szCs w:val="22"/>
        </w:rPr>
        <w:t xml:space="preserve"> en el literal i) del numeral 51.1 del artículo 51 de la Ley de Contrataciones del Estado y el literal i) del numeral 1 del artículo 237 del Reglamento de la Ley de Contrataciones del Estado, </w:t>
      </w:r>
      <w:r w:rsidR="00A5416C" w:rsidRPr="007A2F89">
        <w:rPr>
          <w:rFonts w:ascii="Tahoma" w:hAnsi="Tahoma" w:cs="Tahoma"/>
          <w:sz w:val="22"/>
          <w:szCs w:val="22"/>
        </w:rPr>
        <w:t>sanción que entrará en vigencia a partir del sexto día hábil siguiente de notificada la presente resolución.</w:t>
      </w:r>
    </w:p>
    <w:p w:rsidR="00A5416C" w:rsidRPr="007A2F89" w:rsidRDefault="00A5416C" w:rsidP="00A5416C">
      <w:pPr>
        <w:pStyle w:val="Prrafodelista"/>
        <w:ind w:left="567"/>
        <w:jc w:val="both"/>
        <w:rPr>
          <w:rFonts w:ascii="Tahoma" w:hAnsi="Tahoma" w:cs="Tahoma"/>
          <w:sz w:val="22"/>
          <w:szCs w:val="22"/>
        </w:rPr>
      </w:pPr>
    </w:p>
    <w:p w:rsidR="00A5416C" w:rsidRPr="007A2F89" w:rsidRDefault="00A5416C" w:rsidP="00A5416C">
      <w:pPr>
        <w:pStyle w:val="Prrafodelista"/>
        <w:widowControl/>
        <w:numPr>
          <w:ilvl w:val="0"/>
          <w:numId w:val="7"/>
        </w:numPr>
        <w:suppressAutoHyphens w:val="0"/>
        <w:ind w:left="567" w:hanging="567"/>
        <w:jc w:val="both"/>
        <w:rPr>
          <w:rFonts w:ascii="Tahoma" w:hAnsi="Tahoma" w:cs="Tahoma"/>
          <w:sz w:val="22"/>
          <w:szCs w:val="22"/>
        </w:rPr>
      </w:pPr>
      <w:r w:rsidRPr="007A2F89">
        <w:rPr>
          <w:rFonts w:ascii="Tahoma" w:hAnsi="Tahoma" w:cs="Tahoma"/>
          <w:sz w:val="22"/>
          <w:szCs w:val="22"/>
        </w:rPr>
        <w:t xml:space="preserve">Declarar no ha lugar a la aplicación de sanción a la empresa </w:t>
      </w:r>
      <w:r w:rsidRPr="00006F97">
        <w:rPr>
          <w:rFonts w:ascii="Tahoma" w:hAnsi="Tahoma" w:cs="Tahoma"/>
          <w:sz w:val="22"/>
          <w:szCs w:val="22"/>
        </w:rPr>
        <w:t>DISTRIBUCIONES DEL SUR E.I.R.L.</w:t>
      </w:r>
      <w:r w:rsidRPr="007A2F89">
        <w:rPr>
          <w:rFonts w:ascii="Tahoma" w:hAnsi="Tahoma" w:cs="Tahoma"/>
          <w:sz w:val="22"/>
          <w:szCs w:val="22"/>
        </w:rPr>
        <w:t>, por la comisión de la infracción tipificada</w:t>
      </w:r>
      <w:r w:rsidRPr="007A2F89">
        <w:rPr>
          <w:rFonts w:ascii="Tahoma" w:eastAsia="MS Mincho" w:hAnsi="Tahoma" w:cs="Tahoma"/>
          <w:sz w:val="22"/>
          <w:szCs w:val="22"/>
        </w:rPr>
        <w:t xml:space="preserve"> en el literal i) del numeral 51.1 del artículo 51 de la Ley de Contrataciones del Estado y el literal i) del numeral 1 del artículo 237 del Reglamento de la Ley de Contrataciones del Estado.</w:t>
      </w:r>
    </w:p>
    <w:p w:rsidR="00A5416C" w:rsidRPr="007A2F89" w:rsidRDefault="00A5416C" w:rsidP="00A5416C">
      <w:pPr>
        <w:jc w:val="both"/>
        <w:rPr>
          <w:rFonts w:ascii="Tahoma" w:hAnsi="Tahoma" w:cs="Tahoma"/>
          <w:sz w:val="22"/>
          <w:szCs w:val="22"/>
        </w:rPr>
      </w:pPr>
    </w:p>
    <w:p w:rsidR="00A5416C" w:rsidRPr="007A2F89" w:rsidRDefault="00A5416C" w:rsidP="00A5416C">
      <w:pPr>
        <w:pStyle w:val="Prrafodelista"/>
        <w:numPr>
          <w:ilvl w:val="0"/>
          <w:numId w:val="7"/>
        </w:numPr>
        <w:ind w:left="567" w:hanging="567"/>
        <w:jc w:val="both"/>
        <w:rPr>
          <w:rFonts w:ascii="Tahoma" w:hAnsi="Tahoma" w:cs="Tahoma"/>
          <w:color w:val="000000" w:themeColor="text1"/>
          <w:sz w:val="22"/>
          <w:szCs w:val="22"/>
        </w:rPr>
      </w:pPr>
      <w:r w:rsidRPr="007A2F89">
        <w:rPr>
          <w:rFonts w:ascii="Tahoma" w:eastAsiaTheme="minorHAnsi" w:hAnsi="Tahoma" w:cs="Tahoma"/>
          <w:color w:val="000000"/>
          <w:sz w:val="22"/>
          <w:szCs w:val="22"/>
          <w:lang w:eastAsia="en-US"/>
        </w:rPr>
        <w:t>Poner la presente Resolución en conocimiento de la Presidencia Ejecutiva del OSCE para que, en mérito a sus facultades y de considerarlo pertinente, formule la denuncia penal correspondiente ante el Ministerio Público, de acuerdo a los fundamentos expuestos.</w:t>
      </w:r>
    </w:p>
    <w:p w:rsidR="00A5416C" w:rsidRPr="007A2F89" w:rsidRDefault="00A5416C" w:rsidP="00A5416C">
      <w:pPr>
        <w:jc w:val="both"/>
        <w:rPr>
          <w:rFonts w:ascii="Tahoma" w:hAnsi="Tahoma" w:cs="Tahoma"/>
          <w:sz w:val="22"/>
          <w:szCs w:val="22"/>
        </w:rPr>
      </w:pPr>
    </w:p>
    <w:p w:rsidR="00A5416C" w:rsidRPr="007A2F89" w:rsidRDefault="00A5416C" w:rsidP="00A5416C">
      <w:pPr>
        <w:pStyle w:val="Prrafodelista"/>
        <w:widowControl/>
        <w:numPr>
          <w:ilvl w:val="0"/>
          <w:numId w:val="7"/>
        </w:numPr>
        <w:suppressAutoHyphens w:val="0"/>
        <w:ind w:left="567" w:hanging="567"/>
        <w:jc w:val="both"/>
        <w:rPr>
          <w:rFonts w:ascii="Tahoma" w:hAnsi="Tahoma" w:cs="Tahoma"/>
          <w:sz w:val="22"/>
          <w:szCs w:val="22"/>
        </w:rPr>
      </w:pPr>
      <w:r w:rsidRPr="007A2F89">
        <w:rPr>
          <w:rFonts w:ascii="Tahoma" w:hAnsi="Tahoma" w:cs="Tahoma"/>
          <w:sz w:val="22"/>
          <w:szCs w:val="22"/>
        </w:rPr>
        <w:t>Poner la presente Resolución en conocimiento de la Subdirección del Registro Nacional de Proveedores del Organismo Supervisor de las Contrataciones del Estado (OSCE) para las anotaciones de ley correspondientes.</w:t>
      </w:r>
    </w:p>
    <w:p w:rsidR="00A5416C" w:rsidRPr="00A5416C" w:rsidRDefault="00A5416C" w:rsidP="00A5416C">
      <w:pPr>
        <w:jc w:val="both"/>
        <w:rPr>
          <w:rFonts w:ascii="Tahoma" w:hAnsi="Tahoma" w:cs="Tahoma"/>
          <w:sz w:val="22"/>
          <w:szCs w:val="22"/>
          <w:lang w:val="es-ES_tradnl"/>
        </w:rPr>
      </w:pPr>
    </w:p>
    <w:p w:rsidR="00A5416C" w:rsidRPr="00EF6D22" w:rsidRDefault="00A5416C" w:rsidP="00A5416C">
      <w:pPr>
        <w:pStyle w:val="Textoindependiente21"/>
        <w:ind w:firstLine="567"/>
        <w:rPr>
          <w:rFonts w:cs="Tahoma"/>
          <w:szCs w:val="22"/>
        </w:rPr>
      </w:pPr>
      <w:r w:rsidRPr="00EF6D22">
        <w:rPr>
          <w:rFonts w:cs="Tahoma"/>
          <w:szCs w:val="22"/>
        </w:rPr>
        <w:t>Regístrese, comuníquese y publíquese.</w:t>
      </w:r>
    </w:p>
    <w:p w:rsidR="00A5416C" w:rsidRPr="00EF6D22" w:rsidRDefault="00A5416C" w:rsidP="00A5416C">
      <w:pPr>
        <w:jc w:val="center"/>
        <w:rPr>
          <w:rFonts w:ascii="Tahoma" w:hAnsi="Tahoma" w:cs="Tahoma"/>
          <w:b/>
          <w:sz w:val="22"/>
          <w:szCs w:val="22"/>
        </w:rPr>
      </w:pPr>
    </w:p>
    <w:p w:rsidR="00A5416C" w:rsidRPr="00EF6D22" w:rsidRDefault="00A5416C" w:rsidP="00A5416C">
      <w:pPr>
        <w:jc w:val="center"/>
        <w:rPr>
          <w:rFonts w:ascii="Tahoma" w:hAnsi="Tahoma" w:cs="Tahoma"/>
          <w:b/>
          <w:sz w:val="22"/>
          <w:szCs w:val="22"/>
        </w:rPr>
      </w:pPr>
    </w:p>
    <w:p w:rsidR="00A5416C" w:rsidRPr="00EF6D22" w:rsidRDefault="00A5416C" w:rsidP="00A5416C">
      <w:pPr>
        <w:jc w:val="center"/>
        <w:rPr>
          <w:rFonts w:ascii="Tahoma" w:hAnsi="Tahoma" w:cs="Tahoma"/>
          <w:b/>
          <w:sz w:val="22"/>
          <w:szCs w:val="22"/>
        </w:rPr>
      </w:pPr>
    </w:p>
    <w:p w:rsidR="00A5416C" w:rsidRPr="00EF6D22" w:rsidRDefault="00A5416C" w:rsidP="00A5416C">
      <w:pPr>
        <w:jc w:val="center"/>
        <w:rPr>
          <w:rFonts w:ascii="Tahoma" w:hAnsi="Tahoma" w:cs="Tahoma"/>
          <w:b/>
          <w:sz w:val="22"/>
          <w:szCs w:val="22"/>
        </w:rPr>
      </w:pPr>
    </w:p>
    <w:p w:rsidR="00A5416C" w:rsidRPr="00EF6D22" w:rsidRDefault="00A5416C" w:rsidP="00A5416C">
      <w:pPr>
        <w:jc w:val="center"/>
        <w:rPr>
          <w:rFonts w:ascii="Tahoma" w:hAnsi="Tahoma" w:cs="Tahoma"/>
          <w:b/>
          <w:sz w:val="22"/>
          <w:szCs w:val="22"/>
        </w:rPr>
      </w:pPr>
    </w:p>
    <w:p w:rsidR="00A5416C" w:rsidRPr="00EF6D22" w:rsidRDefault="00A5416C" w:rsidP="00A5416C">
      <w:pPr>
        <w:jc w:val="center"/>
        <w:rPr>
          <w:rFonts w:ascii="Tahoma" w:hAnsi="Tahoma" w:cs="Tahoma"/>
          <w:b/>
          <w:sz w:val="22"/>
          <w:szCs w:val="22"/>
        </w:rPr>
      </w:pPr>
    </w:p>
    <w:p w:rsidR="00A5416C" w:rsidRPr="00EF6D22" w:rsidRDefault="00A5416C" w:rsidP="00A5416C">
      <w:pPr>
        <w:jc w:val="center"/>
        <w:rPr>
          <w:rFonts w:ascii="Tahoma" w:hAnsi="Tahoma" w:cs="Tahoma"/>
          <w:b/>
          <w:shadow/>
          <w:sz w:val="22"/>
          <w:szCs w:val="22"/>
          <w:lang w:val="pt-BR"/>
        </w:rPr>
      </w:pPr>
      <w:r w:rsidRPr="00EF6D22">
        <w:rPr>
          <w:rFonts w:ascii="Tahoma" w:hAnsi="Tahoma" w:cs="Tahoma"/>
          <w:b/>
          <w:shadow/>
          <w:sz w:val="22"/>
          <w:szCs w:val="22"/>
          <w:lang w:val="pt-BR"/>
        </w:rPr>
        <w:t>PRESIDENTE</w:t>
      </w:r>
    </w:p>
    <w:p w:rsidR="00A5416C" w:rsidRPr="00EF6D22" w:rsidRDefault="00A5416C" w:rsidP="00A5416C">
      <w:pPr>
        <w:ind w:firstLine="708"/>
        <w:rPr>
          <w:rFonts w:ascii="Tahoma" w:hAnsi="Tahoma" w:cs="Tahoma"/>
          <w:b/>
          <w:shadow/>
          <w:sz w:val="22"/>
          <w:szCs w:val="22"/>
          <w:lang w:val="pt-BR"/>
        </w:rPr>
      </w:pPr>
    </w:p>
    <w:p w:rsidR="00A5416C" w:rsidRPr="00EF6D22" w:rsidRDefault="00A5416C" w:rsidP="00A5416C">
      <w:pPr>
        <w:ind w:firstLine="708"/>
        <w:rPr>
          <w:rFonts w:ascii="Tahoma" w:hAnsi="Tahoma" w:cs="Tahoma"/>
          <w:b/>
          <w:shadow/>
          <w:sz w:val="22"/>
          <w:szCs w:val="22"/>
          <w:lang w:val="pt-BR"/>
        </w:rPr>
      </w:pPr>
      <w:r w:rsidRPr="00EF6D22">
        <w:rPr>
          <w:rFonts w:ascii="Tahoma" w:hAnsi="Tahoma" w:cs="Tahoma"/>
          <w:b/>
          <w:shadow/>
          <w:sz w:val="22"/>
          <w:szCs w:val="22"/>
          <w:lang w:val="pt-BR"/>
        </w:rPr>
        <w:t xml:space="preserve">VOCAL           </w:t>
      </w:r>
      <w:r w:rsidRPr="00EF6D22">
        <w:rPr>
          <w:rFonts w:ascii="Tahoma" w:hAnsi="Tahoma" w:cs="Tahoma"/>
          <w:b/>
          <w:shadow/>
          <w:sz w:val="22"/>
          <w:szCs w:val="22"/>
          <w:lang w:val="pt-BR"/>
        </w:rPr>
        <w:tab/>
      </w:r>
      <w:r w:rsidRPr="00EF6D22">
        <w:rPr>
          <w:rFonts w:ascii="Tahoma" w:hAnsi="Tahoma" w:cs="Tahoma"/>
          <w:b/>
          <w:shadow/>
          <w:sz w:val="22"/>
          <w:szCs w:val="22"/>
          <w:lang w:val="pt-BR"/>
        </w:rPr>
        <w:tab/>
        <w:t xml:space="preserve">                                                                 VOCAL</w:t>
      </w:r>
    </w:p>
    <w:p w:rsidR="00A5416C" w:rsidRPr="00EF6D22" w:rsidRDefault="00A5416C" w:rsidP="00A5416C">
      <w:pPr>
        <w:rPr>
          <w:rFonts w:ascii="Tahoma" w:hAnsi="Tahoma" w:cs="Tahoma"/>
          <w:sz w:val="22"/>
          <w:szCs w:val="22"/>
          <w:lang w:val="pt-BR"/>
        </w:rPr>
      </w:pPr>
    </w:p>
    <w:p w:rsidR="00A5416C" w:rsidRPr="00EF6D22" w:rsidRDefault="00A5416C" w:rsidP="00A5416C">
      <w:pPr>
        <w:rPr>
          <w:rFonts w:ascii="Tahoma" w:hAnsi="Tahoma" w:cs="Tahoma"/>
          <w:sz w:val="22"/>
          <w:szCs w:val="22"/>
          <w:lang w:val="pt-BR"/>
        </w:rPr>
      </w:pPr>
    </w:p>
    <w:p w:rsidR="00A5416C" w:rsidRDefault="00A5416C" w:rsidP="00A5416C">
      <w:pPr>
        <w:jc w:val="both"/>
        <w:rPr>
          <w:rFonts w:ascii="Tahoma" w:hAnsi="Tahoma" w:cs="Tahoma"/>
          <w:sz w:val="22"/>
          <w:szCs w:val="22"/>
          <w:lang w:val="pt-BR"/>
        </w:rPr>
      </w:pPr>
      <w:r w:rsidRPr="00EF6D22">
        <w:rPr>
          <w:rFonts w:ascii="Tahoma" w:hAnsi="Tahoma" w:cs="Tahoma"/>
          <w:sz w:val="22"/>
          <w:szCs w:val="22"/>
          <w:lang w:val="pt-BR"/>
        </w:rPr>
        <w:t>ss.</w:t>
      </w:r>
    </w:p>
    <w:p w:rsidR="00A5416C" w:rsidRPr="00CB0B36" w:rsidRDefault="00A5416C" w:rsidP="00A5416C">
      <w:pPr>
        <w:jc w:val="both"/>
        <w:rPr>
          <w:rFonts w:ascii="Tahoma" w:hAnsi="Tahoma" w:cs="Tahoma"/>
          <w:sz w:val="22"/>
          <w:szCs w:val="22"/>
          <w:lang w:val="pt-BR"/>
        </w:rPr>
      </w:pPr>
      <w:r>
        <w:rPr>
          <w:rFonts w:ascii="Tahoma" w:hAnsi="Tahoma" w:cs="Tahoma"/>
          <w:sz w:val="22"/>
          <w:szCs w:val="22"/>
          <w:lang w:val="pt-BR"/>
        </w:rPr>
        <w:t>Navas Rondon</w:t>
      </w:r>
    </w:p>
    <w:p w:rsidR="00A5416C" w:rsidRPr="00EF6D22" w:rsidRDefault="00A5416C" w:rsidP="00A5416C">
      <w:pPr>
        <w:pStyle w:val="Textoindependiente21"/>
        <w:tabs>
          <w:tab w:val="left" w:pos="5250"/>
        </w:tabs>
        <w:rPr>
          <w:rFonts w:cs="Tahoma"/>
          <w:szCs w:val="22"/>
          <w:lang w:val="pt-BR"/>
        </w:rPr>
      </w:pPr>
      <w:r w:rsidRPr="00EF6D22">
        <w:rPr>
          <w:rFonts w:cs="Tahoma"/>
          <w:szCs w:val="22"/>
          <w:lang w:val="en-US"/>
        </w:rPr>
        <w:t>Ramírez Maynetto.</w:t>
      </w:r>
    </w:p>
    <w:p w:rsidR="008B738B" w:rsidRDefault="00A5416C" w:rsidP="00A5416C">
      <w:pPr>
        <w:pStyle w:val="Textoindependiente21"/>
        <w:tabs>
          <w:tab w:val="left" w:pos="5250"/>
        </w:tabs>
      </w:pPr>
      <w:r w:rsidRPr="00EF6D22">
        <w:rPr>
          <w:rFonts w:cs="Tahoma"/>
          <w:szCs w:val="22"/>
          <w:lang w:val="pt-BR"/>
        </w:rPr>
        <w:t>Basulto Liewald.</w:t>
      </w:r>
    </w:p>
    <w:sectPr w:rsidR="008B738B" w:rsidSect="00524317">
      <w:headerReference w:type="default" r:id="rId7"/>
      <w:footerReference w:type="default" r:id="rId8"/>
      <w:pgSz w:w="11906" w:h="16838"/>
      <w:pgMar w:top="3402"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33F7" w:rsidRDefault="003333F7" w:rsidP="00A5416C">
      <w:r>
        <w:separator/>
      </w:r>
    </w:p>
  </w:endnote>
  <w:endnote w:type="continuationSeparator" w:id="1">
    <w:p w:rsidR="003333F7" w:rsidRDefault="003333F7" w:rsidP="00A5416C">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119252"/>
      <w:docPartObj>
        <w:docPartGallery w:val="Page Numbers (Bottom of Page)"/>
        <w:docPartUnique/>
      </w:docPartObj>
    </w:sdtPr>
    <w:sdtContent>
      <w:sdt>
        <w:sdtPr>
          <w:id w:val="216747541"/>
          <w:docPartObj>
            <w:docPartGallery w:val="Page Numbers (Top of Page)"/>
            <w:docPartUnique/>
          </w:docPartObj>
        </w:sdtPr>
        <w:sdtContent>
          <w:p w:rsidR="00524317" w:rsidRDefault="00567EB9">
            <w:pPr>
              <w:pStyle w:val="Piedepgina"/>
              <w:jc w:val="center"/>
            </w:pPr>
            <w:r>
              <w:t xml:space="preserve">Página </w:t>
            </w:r>
            <w:r w:rsidR="00666927">
              <w:rPr>
                <w:b/>
              </w:rPr>
              <w:fldChar w:fldCharType="begin"/>
            </w:r>
            <w:r>
              <w:rPr>
                <w:b/>
              </w:rPr>
              <w:instrText>PAGE</w:instrText>
            </w:r>
            <w:r w:rsidR="00666927">
              <w:rPr>
                <w:b/>
              </w:rPr>
              <w:fldChar w:fldCharType="separate"/>
            </w:r>
            <w:r w:rsidR="002E06BD">
              <w:rPr>
                <w:b/>
                <w:noProof/>
              </w:rPr>
              <w:t>1</w:t>
            </w:r>
            <w:r w:rsidR="00666927">
              <w:rPr>
                <w:b/>
              </w:rPr>
              <w:fldChar w:fldCharType="end"/>
            </w:r>
            <w:r>
              <w:t xml:space="preserve"> de </w:t>
            </w:r>
            <w:r w:rsidR="00666927">
              <w:rPr>
                <w:b/>
              </w:rPr>
              <w:fldChar w:fldCharType="begin"/>
            </w:r>
            <w:r>
              <w:rPr>
                <w:b/>
              </w:rPr>
              <w:instrText>NUMPAGES</w:instrText>
            </w:r>
            <w:r w:rsidR="00666927">
              <w:rPr>
                <w:b/>
              </w:rPr>
              <w:fldChar w:fldCharType="separate"/>
            </w:r>
            <w:r w:rsidR="002E06BD">
              <w:rPr>
                <w:b/>
                <w:noProof/>
              </w:rPr>
              <w:t>9</w:t>
            </w:r>
            <w:r w:rsidR="00666927">
              <w:rPr>
                <w:b/>
              </w:rPr>
              <w:fldChar w:fldCharType="end"/>
            </w:r>
          </w:p>
        </w:sdtContent>
      </w:sdt>
    </w:sdtContent>
  </w:sdt>
  <w:p w:rsidR="00524317" w:rsidRDefault="003333F7">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33F7" w:rsidRDefault="003333F7" w:rsidP="00A5416C">
      <w:r>
        <w:separator/>
      </w:r>
    </w:p>
  </w:footnote>
  <w:footnote w:type="continuationSeparator" w:id="1">
    <w:p w:rsidR="003333F7" w:rsidRDefault="003333F7" w:rsidP="00A5416C">
      <w:r>
        <w:continuationSeparator/>
      </w:r>
    </w:p>
  </w:footnote>
  <w:footnote w:id="2">
    <w:p w:rsidR="00A5416C" w:rsidRDefault="00A5416C" w:rsidP="00A5416C">
      <w:pPr>
        <w:pStyle w:val="Textonotapie"/>
        <w:rPr>
          <w:i/>
          <w:sz w:val="18"/>
          <w:szCs w:val="18"/>
        </w:rPr>
      </w:pPr>
      <w:r>
        <w:rPr>
          <w:rStyle w:val="Refdenotaalpie"/>
          <w:i/>
          <w:sz w:val="18"/>
          <w:szCs w:val="18"/>
        </w:rPr>
        <w:footnoteRef/>
      </w:r>
      <w:r>
        <w:rPr>
          <w:i/>
          <w:sz w:val="18"/>
          <w:szCs w:val="18"/>
        </w:rPr>
        <w:t xml:space="preserve"> Aprobada por Decreto Legislativo Nº 1017.</w:t>
      </w:r>
    </w:p>
    <w:p w:rsidR="00A5416C" w:rsidRDefault="00A5416C" w:rsidP="00A5416C">
      <w:pPr>
        <w:pStyle w:val="Textonotapie"/>
        <w:rPr>
          <w:i/>
          <w:sz w:val="18"/>
          <w:szCs w:val="18"/>
        </w:rPr>
      </w:pPr>
    </w:p>
  </w:footnote>
  <w:footnote w:id="3">
    <w:p w:rsidR="00A5416C" w:rsidRDefault="00A5416C" w:rsidP="00A5416C">
      <w:pPr>
        <w:pStyle w:val="Textonotapie"/>
        <w:rPr>
          <w:i/>
          <w:sz w:val="18"/>
          <w:szCs w:val="18"/>
        </w:rPr>
      </w:pPr>
      <w:r>
        <w:rPr>
          <w:rStyle w:val="Refdenotaalpie"/>
          <w:i/>
          <w:sz w:val="18"/>
          <w:szCs w:val="18"/>
        </w:rPr>
        <w:footnoteRef/>
      </w:r>
      <w:r>
        <w:rPr>
          <w:i/>
          <w:sz w:val="18"/>
          <w:szCs w:val="18"/>
        </w:rPr>
        <w:t xml:space="preserve"> Aprobado por Decreto Supremo Nº 184-2008-EF.</w:t>
      </w:r>
    </w:p>
    <w:p w:rsidR="00A5416C" w:rsidRDefault="00A5416C" w:rsidP="00A5416C">
      <w:pPr>
        <w:pStyle w:val="Textonotapie"/>
        <w:rPr>
          <w:i/>
          <w:sz w:val="18"/>
          <w:szCs w:val="18"/>
        </w:rPr>
      </w:pPr>
    </w:p>
  </w:footnote>
  <w:footnote w:id="4">
    <w:p w:rsidR="00A5416C" w:rsidRDefault="00A5416C" w:rsidP="00A5416C">
      <w:pPr>
        <w:pStyle w:val="Textonotapie"/>
        <w:rPr>
          <w:i/>
          <w:sz w:val="18"/>
          <w:szCs w:val="18"/>
        </w:rPr>
      </w:pPr>
      <w:r>
        <w:rPr>
          <w:rStyle w:val="Refdenotaalpie"/>
          <w:b/>
          <w:bCs/>
          <w:i/>
          <w:sz w:val="18"/>
          <w:szCs w:val="18"/>
        </w:rPr>
        <w:footnoteRef/>
      </w:r>
      <w:r>
        <w:rPr>
          <w:i/>
          <w:sz w:val="18"/>
          <w:szCs w:val="18"/>
        </w:rPr>
        <w:t xml:space="preserve"> </w:t>
      </w:r>
      <w:r>
        <w:rPr>
          <w:b/>
          <w:bCs/>
          <w:i/>
          <w:sz w:val="18"/>
          <w:szCs w:val="18"/>
        </w:rPr>
        <w:t>El Principio de Presunción de Veracidad</w:t>
      </w:r>
      <w:r>
        <w:rPr>
          <w:i/>
          <w:sz w:val="18"/>
          <w:szCs w:val="18"/>
        </w:rPr>
        <w:t xml:space="preserve"> consiste en </w:t>
      </w:r>
      <w:r>
        <w:rPr>
          <w:i/>
          <w:iCs/>
          <w:sz w:val="18"/>
          <w:szCs w:val="18"/>
        </w:rPr>
        <w:t xml:space="preserve">“el deber de suponer – por adelantado y con carácter provisorio – que los administrados proceden con verdad en sus actuaciones en el procedimiento que intervengan (rige tanto las relaciones de </w:t>
      </w:r>
      <w:smartTag w:uri="urn:schemas-microsoft-com:office:smarttags" w:element="PersonName">
        <w:smartTagPr>
          <w:attr w:name="ProductID" w:val="la Administraci￳n P￺blica"/>
        </w:smartTagPr>
        <w:r>
          <w:rPr>
            <w:i/>
            <w:iCs/>
            <w:sz w:val="18"/>
            <w:szCs w:val="18"/>
          </w:rPr>
          <w:t>la Administración Pública</w:t>
        </w:r>
      </w:smartTag>
      <w:r>
        <w:rPr>
          <w:i/>
          <w:iCs/>
          <w:sz w:val="18"/>
          <w:szCs w:val="18"/>
        </w:rPr>
        <w:t xml:space="preserve"> con sus agentes como con el público). Sustituye la tradicional duda o escepticismo de la autoridad sobre los administrados”.</w:t>
      </w:r>
      <w:r>
        <w:rPr>
          <w:i/>
          <w:sz w:val="18"/>
          <w:szCs w:val="18"/>
        </w:rPr>
        <w:t xml:space="preserve"> MORÓN URBINA, Juan Carlos. </w:t>
      </w:r>
      <w:r>
        <w:rPr>
          <w:b/>
          <w:bCs/>
          <w:i/>
          <w:sz w:val="18"/>
          <w:szCs w:val="18"/>
        </w:rPr>
        <w:t xml:space="preserve">Comentarios a </w:t>
      </w:r>
      <w:smartTag w:uri="urn:schemas-microsoft-com:office:smarttags" w:element="PersonName">
        <w:smartTagPr>
          <w:attr w:name="ProductID" w:val="la Ley"/>
        </w:smartTagPr>
        <w:r>
          <w:rPr>
            <w:b/>
            <w:bCs/>
            <w:i/>
            <w:sz w:val="18"/>
            <w:szCs w:val="18"/>
          </w:rPr>
          <w:t>la Ley</w:t>
        </w:r>
      </w:smartTag>
      <w:r>
        <w:rPr>
          <w:b/>
          <w:bCs/>
          <w:i/>
          <w:sz w:val="18"/>
          <w:szCs w:val="18"/>
        </w:rPr>
        <w:t xml:space="preserve"> del Procedimiento Administrativo General</w:t>
      </w:r>
      <w:r>
        <w:rPr>
          <w:i/>
          <w:sz w:val="18"/>
          <w:szCs w:val="18"/>
        </w:rPr>
        <w:t>. Cuarta Edición. Lima: Gaceta Jurídica, 2005; pp. 74 -75.</w:t>
      </w:r>
    </w:p>
    <w:p w:rsidR="00A5416C" w:rsidRDefault="00A5416C" w:rsidP="00A5416C">
      <w:pPr>
        <w:pStyle w:val="Textonotapie"/>
        <w:rPr>
          <w:i/>
          <w:sz w:val="18"/>
          <w:szCs w:val="18"/>
        </w:rPr>
      </w:pPr>
    </w:p>
  </w:footnote>
  <w:footnote w:id="5">
    <w:p w:rsidR="00A5416C" w:rsidRPr="00B374B2" w:rsidRDefault="00A5416C" w:rsidP="00A5416C">
      <w:pPr>
        <w:autoSpaceDE w:val="0"/>
        <w:autoSpaceDN w:val="0"/>
        <w:adjustRightInd w:val="0"/>
        <w:jc w:val="both"/>
        <w:rPr>
          <w:b/>
          <w:bCs/>
          <w:sz w:val="18"/>
          <w:szCs w:val="18"/>
        </w:rPr>
      </w:pPr>
      <w:r w:rsidRPr="00B374B2">
        <w:rPr>
          <w:rStyle w:val="Refdenotaalpie"/>
          <w:rFonts w:eastAsia="Batang"/>
          <w:sz w:val="18"/>
          <w:szCs w:val="18"/>
        </w:rPr>
        <w:footnoteRef/>
      </w:r>
      <w:r w:rsidRPr="00B374B2">
        <w:rPr>
          <w:sz w:val="18"/>
          <w:szCs w:val="18"/>
        </w:rPr>
        <w:t xml:space="preserve"> </w:t>
      </w:r>
      <w:r>
        <w:rPr>
          <w:b/>
          <w:bCs/>
          <w:sz w:val="18"/>
          <w:szCs w:val="18"/>
        </w:rPr>
        <w:t>Artículo 245</w:t>
      </w:r>
      <w:r w:rsidRPr="00B374B2">
        <w:rPr>
          <w:b/>
          <w:bCs/>
          <w:sz w:val="18"/>
          <w:szCs w:val="18"/>
        </w:rPr>
        <w:t xml:space="preserve">.- Determinación gradual de </w:t>
      </w:r>
      <w:smartTag w:uri="urn:schemas-microsoft-com:office:smarttags" w:element="PersonName">
        <w:smartTagPr>
          <w:attr w:name="ProductID" w:val="la Sanci￳n"/>
        </w:smartTagPr>
        <w:r w:rsidRPr="00B374B2">
          <w:rPr>
            <w:b/>
            <w:bCs/>
            <w:sz w:val="18"/>
            <w:szCs w:val="18"/>
          </w:rPr>
          <w:t>la Sanción</w:t>
        </w:r>
      </w:smartTag>
    </w:p>
    <w:p w:rsidR="00A5416C" w:rsidRPr="00B374B2" w:rsidRDefault="00A5416C" w:rsidP="00A5416C">
      <w:pPr>
        <w:autoSpaceDE w:val="0"/>
        <w:autoSpaceDN w:val="0"/>
        <w:adjustRightInd w:val="0"/>
        <w:jc w:val="both"/>
        <w:rPr>
          <w:sz w:val="18"/>
          <w:szCs w:val="18"/>
        </w:rPr>
      </w:pPr>
      <w:r w:rsidRPr="00B374B2">
        <w:rPr>
          <w:sz w:val="18"/>
          <w:szCs w:val="18"/>
        </w:rPr>
        <w:t>Para graduar la sanción a imponerse conforme a las disposiciones del presente Título, se considerarán los siguientes criterios:</w:t>
      </w:r>
    </w:p>
    <w:p w:rsidR="00A5416C" w:rsidRPr="00B374B2" w:rsidRDefault="00A5416C" w:rsidP="00A5416C">
      <w:pPr>
        <w:autoSpaceDE w:val="0"/>
        <w:autoSpaceDN w:val="0"/>
        <w:adjustRightInd w:val="0"/>
        <w:jc w:val="both"/>
        <w:rPr>
          <w:sz w:val="18"/>
          <w:szCs w:val="18"/>
        </w:rPr>
      </w:pPr>
    </w:p>
    <w:p w:rsidR="00A5416C" w:rsidRPr="00B374B2" w:rsidRDefault="00A5416C" w:rsidP="00A5416C">
      <w:pPr>
        <w:autoSpaceDE w:val="0"/>
        <w:autoSpaceDN w:val="0"/>
        <w:adjustRightInd w:val="0"/>
        <w:jc w:val="both"/>
        <w:rPr>
          <w:sz w:val="18"/>
          <w:szCs w:val="18"/>
        </w:rPr>
      </w:pPr>
      <w:r w:rsidRPr="00B374B2">
        <w:rPr>
          <w:sz w:val="18"/>
          <w:szCs w:val="18"/>
        </w:rPr>
        <w:t>1) Naturaleza de la infracción.</w:t>
      </w:r>
    </w:p>
    <w:p w:rsidR="00A5416C" w:rsidRPr="00B374B2" w:rsidRDefault="00A5416C" w:rsidP="00A5416C">
      <w:pPr>
        <w:autoSpaceDE w:val="0"/>
        <w:autoSpaceDN w:val="0"/>
        <w:adjustRightInd w:val="0"/>
        <w:jc w:val="both"/>
        <w:rPr>
          <w:sz w:val="18"/>
          <w:szCs w:val="18"/>
        </w:rPr>
      </w:pPr>
      <w:r w:rsidRPr="00B374B2">
        <w:rPr>
          <w:sz w:val="18"/>
          <w:szCs w:val="18"/>
        </w:rPr>
        <w:t>2) Intencionalidad del infractor.</w:t>
      </w:r>
    </w:p>
    <w:p w:rsidR="00A5416C" w:rsidRPr="00B374B2" w:rsidRDefault="00A5416C" w:rsidP="00A5416C">
      <w:pPr>
        <w:autoSpaceDE w:val="0"/>
        <w:autoSpaceDN w:val="0"/>
        <w:adjustRightInd w:val="0"/>
        <w:jc w:val="both"/>
        <w:rPr>
          <w:sz w:val="18"/>
          <w:szCs w:val="18"/>
        </w:rPr>
      </w:pPr>
      <w:r w:rsidRPr="00B374B2">
        <w:rPr>
          <w:sz w:val="18"/>
          <w:szCs w:val="18"/>
        </w:rPr>
        <w:t>3) Daño causado.</w:t>
      </w:r>
    </w:p>
    <w:p w:rsidR="00A5416C" w:rsidRPr="00B374B2" w:rsidRDefault="00A5416C" w:rsidP="00A5416C">
      <w:pPr>
        <w:autoSpaceDE w:val="0"/>
        <w:autoSpaceDN w:val="0"/>
        <w:adjustRightInd w:val="0"/>
        <w:jc w:val="both"/>
        <w:rPr>
          <w:sz w:val="18"/>
          <w:szCs w:val="18"/>
        </w:rPr>
      </w:pPr>
      <w:r w:rsidRPr="00B374B2">
        <w:rPr>
          <w:sz w:val="18"/>
          <w:szCs w:val="18"/>
        </w:rPr>
        <w:t>4) Reiterancia.</w:t>
      </w:r>
    </w:p>
    <w:p w:rsidR="00A5416C" w:rsidRPr="00B374B2" w:rsidRDefault="00A5416C" w:rsidP="00A5416C">
      <w:pPr>
        <w:autoSpaceDE w:val="0"/>
        <w:autoSpaceDN w:val="0"/>
        <w:adjustRightInd w:val="0"/>
        <w:jc w:val="both"/>
        <w:rPr>
          <w:sz w:val="18"/>
          <w:szCs w:val="18"/>
        </w:rPr>
      </w:pPr>
      <w:r w:rsidRPr="00B374B2">
        <w:rPr>
          <w:sz w:val="18"/>
          <w:szCs w:val="18"/>
        </w:rPr>
        <w:t>5) El reconocimiento de la infracción cometida antes de que sea detectada.</w:t>
      </w:r>
    </w:p>
    <w:p w:rsidR="00A5416C" w:rsidRPr="00B374B2" w:rsidRDefault="00A5416C" w:rsidP="00A5416C">
      <w:pPr>
        <w:autoSpaceDE w:val="0"/>
        <w:autoSpaceDN w:val="0"/>
        <w:adjustRightInd w:val="0"/>
        <w:jc w:val="both"/>
        <w:rPr>
          <w:sz w:val="18"/>
          <w:szCs w:val="18"/>
        </w:rPr>
      </w:pPr>
      <w:r w:rsidRPr="00B374B2">
        <w:rPr>
          <w:sz w:val="18"/>
          <w:szCs w:val="18"/>
        </w:rPr>
        <w:t>6) Circunstancias de tiempo, lugar y modo.</w:t>
      </w:r>
    </w:p>
    <w:p w:rsidR="00A5416C" w:rsidRPr="00B374B2" w:rsidRDefault="00A5416C" w:rsidP="00A5416C">
      <w:pPr>
        <w:autoSpaceDE w:val="0"/>
        <w:autoSpaceDN w:val="0"/>
        <w:adjustRightInd w:val="0"/>
        <w:jc w:val="both"/>
        <w:rPr>
          <w:sz w:val="18"/>
          <w:szCs w:val="18"/>
        </w:rPr>
      </w:pPr>
      <w:r w:rsidRPr="00B374B2">
        <w:rPr>
          <w:sz w:val="18"/>
          <w:szCs w:val="18"/>
        </w:rPr>
        <w:t>7) Condiciones del infractor.</w:t>
      </w:r>
    </w:p>
    <w:p w:rsidR="00A5416C" w:rsidRPr="00B374B2" w:rsidRDefault="00A5416C" w:rsidP="00A5416C">
      <w:pPr>
        <w:autoSpaceDE w:val="0"/>
        <w:autoSpaceDN w:val="0"/>
        <w:adjustRightInd w:val="0"/>
        <w:jc w:val="both"/>
        <w:rPr>
          <w:sz w:val="18"/>
          <w:szCs w:val="18"/>
        </w:rPr>
      </w:pPr>
      <w:r w:rsidRPr="00B374B2">
        <w:rPr>
          <w:sz w:val="18"/>
          <w:szCs w:val="18"/>
        </w:rPr>
        <w:t>8) Conducta procesal del infractor.</w:t>
      </w:r>
    </w:p>
    <w:p w:rsidR="00A5416C" w:rsidRPr="00B374B2" w:rsidRDefault="00A5416C" w:rsidP="00A5416C">
      <w:pPr>
        <w:pStyle w:val="Textonotapie"/>
        <w:rPr>
          <w:sz w:val="18"/>
          <w:szCs w:val="18"/>
        </w:rPr>
      </w:pPr>
    </w:p>
  </w:footnote>
  <w:footnote w:id="6">
    <w:p w:rsidR="00A5416C" w:rsidRPr="00B33A16" w:rsidRDefault="00A5416C" w:rsidP="00A5416C">
      <w:pPr>
        <w:pStyle w:val="Encabezado"/>
        <w:tabs>
          <w:tab w:val="left" w:pos="0"/>
        </w:tabs>
        <w:jc w:val="both"/>
        <w:rPr>
          <w:rFonts w:ascii="Tahoma" w:hAnsi="Tahoma" w:cs="Tahoma"/>
          <w:b/>
          <w:sz w:val="16"/>
          <w:szCs w:val="16"/>
        </w:rPr>
      </w:pPr>
      <w:r w:rsidRPr="00B33A16">
        <w:rPr>
          <w:rStyle w:val="Refdenotaalpie"/>
          <w:rFonts w:ascii="Tahoma" w:hAnsi="Tahoma" w:cs="Tahoma"/>
          <w:sz w:val="16"/>
          <w:szCs w:val="16"/>
        </w:rPr>
        <w:footnoteRef/>
      </w:r>
      <w:r w:rsidRPr="00B33A16">
        <w:rPr>
          <w:rFonts w:ascii="Tahoma" w:hAnsi="Tahoma" w:cs="Tahoma"/>
          <w:sz w:val="16"/>
          <w:szCs w:val="16"/>
        </w:rPr>
        <w:t xml:space="preserve"> </w:t>
      </w:r>
      <w:r w:rsidRPr="00B33A16">
        <w:rPr>
          <w:rFonts w:ascii="Tahoma" w:hAnsi="Tahoma" w:cs="Tahoma"/>
          <w:b/>
          <w:sz w:val="16"/>
          <w:szCs w:val="16"/>
        </w:rPr>
        <w:t>Articulo 427.- Falsificación de documentos</w:t>
      </w:r>
    </w:p>
    <w:p w:rsidR="00A5416C" w:rsidRPr="00CB4587" w:rsidRDefault="00A5416C" w:rsidP="00A5416C">
      <w:pPr>
        <w:pStyle w:val="Encabezado"/>
        <w:tabs>
          <w:tab w:val="left" w:pos="0"/>
        </w:tabs>
        <w:jc w:val="both"/>
      </w:pPr>
      <w:r w:rsidRPr="00B33A16">
        <w:rPr>
          <w:rFonts w:ascii="Tahoma" w:hAnsi="Tahoma" w:cs="Tahoma"/>
          <w:sz w:val="16"/>
          <w:szCs w:val="16"/>
        </w:rPr>
        <w:t>El que hace, en todo o en parte, un documento falso o altera uno verdadero que pueda dar origen a derecho u obligación o servir para probar un hecho, con el propósito de utilizar el documento, será reprimido, si de uso puede resultar algún perjuicio, con pena privativa de libertad no menor de dos ni mayor a diez años y con treinta a noventa días-multa si se trata de un documento público, registro público, título auténtico o cualquier otro transmisible por endoso o al portador o con pena privativa de libertad no menor de dos ni mayor a cuatro años, y con ciento ochenta a trescientos sesenticinco días multa, si se trata de un documento privado.</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BD" w:rsidRDefault="002E06BD" w:rsidP="002E06BD">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2E06BD" w:rsidRDefault="002E06BD" w:rsidP="002E06BD">
    <w:pPr>
      <w:pStyle w:val="Encabezado"/>
      <w:rPr>
        <w:noProof/>
      </w:rPr>
    </w:pPr>
  </w:p>
  <w:p w:rsidR="002E06BD" w:rsidRDefault="002E06BD" w:rsidP="002E06BD">
    <w:pPr>
      <w:pStyle w:val="Encabezado"/>
      <w:rPr>
        <w:noProof/>
      </w:rPr>
    </w:pPr>
  </w:p>
  <w:p w:rsidR="002E06BD" w:rsidRDefault="002E06BD" w:rsidP="002E06BD">
    <w:pPr>
      <w:pStyle w:val="Encabezado"/>
      <w:rPr>
        <w:noProof/>
      </w:rPr>
    </w:pPr>
  </w:p>
  <w:p w:rsidR="002E06BD" w:rsidRDefault="002E06BD" w:rsidP="002E06BD">
    <w:pPr>
      <w:pStyle w:val="Encabezado"/>
      <w:jc w:val="center"/>
    </w:pPr>
    <w:r>
      <w:rPr>
        <w:rFonts w:ascii="Monotype Corsiva" w:hAnsi="Monotype Corsiva"/>
        <w:b/>
        <w:sz w:val="44"/>
        <w:szCs w:val="44"/>
      </w:rPr>
      <w:t xml:space="preserve">Resolución Nº   </w:t>
    </w:r>
    <w:r>
      <w:rPr>
        <w:rFonts w:ascii="Tahoma" w:hAnsi="Tahoma" w:cs="Tahoma"/>
        <w:b/>
        <w:sz w:val="44"/>
        <w:szCs w:val="44"/>
      </w:rPr>
      <w:t>850-2011-TC-S1</w:t>
    </w:r>
  </w:p>
  <w:p w:rsidR="002E06BD" w:rsidRDefault="002E06BD">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821D3"/>
    <w:multiLevelType w:val="hybridMultilevel"/>
    <w:tmpl w:val="A3AEC34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292E7221"/>
    <w:multiLevelType w:val="hybridMultilevel"/>
    <w:tmpl w:val="F78AF1A2"/>
    <w:lvl w:ilvl="0" w:tplc="57049ED8">
      <w:start w:val="1"/>
      <w:numFmt w:val="decimal"/>
      <w:lvlText w:val="%1."/>
      <w:lvlJc w:val="left"/>
      <w:pPr>
        <w:tabs>
          <w:tab w:val="num" w:pos="360"/>
        </w:tabs>
        <w:ind w:left="360" w:hanging="360"/>
      </w:pPr>
      <w:rPr>
        <w:rFonts w:ascii="Tahoma" w:hAnsi="Tahoma" w:cs="Tahoma" w:hint="default"/>
        <w:b/>
        <w:i w:val="0"/>
      </w:rPr>
    </w:lvl>
    <w:lvl w:ilvl="1" w:tplc="0C0A0019">
      <w:start w:val="1"/>
      <w:numFmt w:val="lowerLetter"/>
      <w:lvlText w:val="%2."/>
      <w:lvlJc w:val="left"/>
      <w:pPr>
        <w:tabs>
          <w:tab w:val="num" w:pos="720"/>
        </w:tabs>
        <w:ind w:left="720" w:hanging="360"/>
      </w:pPr>
    </w:lvl>
    <w:lvl w:ilvl="2" w:tplc="0C0A001B">
      <w:start w:val="1"/>
      <w:numFmt w:val="decimal"/>
      <w:lvlText w:val="%3."/>
      <w:lvlJc w:val="left"/>
      <w:pPr>
        <w:tabs>
          <w:tab w:val="num" w:pos="1800"/>
        </w:tabs>
        <w:ind w:left="1800" w:hanging="360"/>
      </w:pPr>
    </w:lvl>
    <w:lvl w:ilvl="3" w:tplc="0C0A000F">
      <w:start w:val="1"/>
      <w:numFmt w:val="decimal"/>
      <w:lvlText w:val="%4."/>
      <w:lvlJc w:val="left"/>
      <w:pPr>
        <w:tabs>
          <w:tab w:val="num" w:pos="2520"/>
        </w:tabs>
        <w:ind w:left="2520" w:hanging="360"/>
      </w:pPr>
    </w:lvl>
    <w:lvl w:ilvl="4" w:tplc="0C0A0019">
      <w:start w:val="1"/>
      <w:numFmt w:val="decimal"/>
      <w:lvlText w:val="%5."/>
      <w:lvlJc w:val="left"/>
      <w:pPr>
        <w:tabs>
          <w:tab w:val="num" w:pos="3240"/>
        </w:tabs>
        <w:ind w:left="3240" w:hanging="360"/>
      </w:pPr>
    </w:lvl>
    <w:lvl w:ilvl="5" w:tplc="0C0A001B">
      <w:start w:val="1"/>
      <w:numFmt w:val="decimal"/>
      <w:lvlText w:val="%6."/>
      <w:lvlJc w:val="left"/>
      <w:pPr>
        <w:tabs>
          <w:tab w:val="num" w:pos="3960"/>
        </w:tabs>
        <w:ind w:left="3960" w:hanging="360"/>
      </w:pPr>
    </w:lvl>
    <w:lvl w:ilvl="6" w:tplc="0C0A000F">
      <w:start w:val="1"/>
      <w:numFmt w:val="decimal"/>
      <w:lvlText w:val="%7."/>
      <w:lvlJc w:val="left"/>
      <w:pPr>
        <w:tabs>
          <w:tab w:val="num" w:pos="4680"/>
        </w:tabs>
        <w:ind w:left="4680" w:hanging="360"/>
      </w:pPr>
    </w:lvl>
    <w:lvl w:ilvl="7" w:tplc="0C0A0019">
      <w:start w:val="1"/>
      <w:numFmt w:val="decimal"/>
      <w:lvlText w:val="%8."/>
      <w:lvlJc w:val="left"/>
      <w:pPr>
        <w:tabs>
          <w:tab w:val="num" w:pos="5400"/>
        </w:tabs>
        <w:ind w:left="5400" w:hanging="360"/>
      </w:pPr>
    </w:lvl>
    <w:lvl w:ilvl="8" w:tplc="0C0A001B">
      <w:start w:val="1"/>
      <w:numFmt w:val="decimal"/>
      <w:lvlText w:val="%9."/>
      <w:lvlJc w:val="left"/>
      <w:pPr>
        <w:tabs>
          <w:tab w:val="num" w:pos="6120"/>
        </w:tabs>
        <w:ind w:left="6120" w:hanging="360"/>
      </w:pPr>
    </w:lvl>
  </w:abstractNum>
  <w:abstractNum w:abstractNumId="2">
    <w:nsid w:val="32466705"/>
    <w:multiLevelType w:val="multilevel"/>
    <w:tmpl w:val="05D03E78"/>
    <w:lvl w:ilvl="0">
      <w:start w:val="1"/>
      <w:numFmt w:val="decimal"/>
      <w:lvlText w:val="%1."/>
      <w:lvlJc w:val="left"/>
      <w:pPr>
        <w:tabs>
          <w:tab w:val="num" w:pos="720"/>
        </w:tabs>
        <w:ind w:left="720" w:hanging="360"/>
      </w:pPr>
      <w:rPr>
        <w:b/>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594036C"/>
    <w:multiLevelType w:val="multilevel"/>
    <w:tmpl w:val="8392EE4E"/>
    <w:lvl w:ilvl="0">
      <w:start w:val="1"/>
      <w:numFmt w:val="decimal"/>
      <w:lvlText w:val="%1."/>
      <w:lvlJc w:val="left"/>
      <w:pPr>
        <w:ind w:left="360" w:hanging="360"/>
      </w:pPr>
      <w:rPr>
        <w:b/>
        <w:sz w:val="22"/>
        <w:szCs w:val="22"/>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4DC96DE1"/>
    <w:multiLevelType w:val="hybridMultilevel"/>
    <w:tmpl w:val="9FB68D96"/>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5B3E1F50"/>
    <w:multiLevelType w:val="hybridMultilevel"/>
    <w:tmpl w:val="D00A945A"/>
    <w:lvl w:ilvl="0" w:tplc="8EA03CE0">
      <w:start w:val="1"/>
      <w:numFmt w:val="decimal"/>
      <w:lvlText w:val="%1."/>
      <w:lvlJc w:val="right"/>
      <w:pPr>
        <w:ind w:left="720" w:hanging="360"/>
      </w:pPr>
      <w:rPr>
        <w:rFonts w:ascii="Tahoma" w:hAnsi="Tahoma" w:cs="Times New Roman" w:hint="default"/>
        <w:b/>
        <w:i w:val="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6">
    <w:nsid w:val="72352AB3"/>
    <w:multiLevelType w:val="hybridMultilevel"/>
    <w:tmpl w:val="3F1808D4"/>
    <w:lvl w:ilvl="0" w:tplc="FF70F224">
      <w:start w:val="1"/>
      <w:numFmt w:val="decimal"/>
      <w:lvlText w:val="%1."/>
      <w:lvlJc w:val="left"/>
      <w:pPr>
        <w:tabs>
          <w:tab w:val="num" w:pos="360"/>
        </w:tabs>
        <w:ind w:left="360" w:hanging="360"/>
      </w:pPr>
      <w:rPr>
        <w:rFonts w:ascii="Tahoma" w:hAnsi="Tahoma" w:cs="Tahoma" w:hint="default"/>
        <w:b/>
        <w:sz w:val="20"/>
        <w:szCs w:val="20"/>
      </w:rPr>
    </w:lvl>
    <w:lvl w:ilvl="1" w:tplc="6092304C">
      <w:start w:val="1"/>
      <w:numFmt w:val="lowerRoman"/>
      <w:lvlText w:val="(%2)"/>
      <w:lvlJc w:val="left"/>
      <w:pPr>
        <w:tabs>
          <w:tab w:val="num" w:pos="1260"/>
        </w:tabs>
        <w:ind w:left="1260" w:hanging="720"/>
      </w:pPr>
      <w:rPr>
        <w:rFonts w:ascii="Tahoma" w:hAnsi="Tahoma" w:cs="Tahoma" w:hint="default"/>
        <w:b/>
        <w:sz w:val="20"/>
        <w:szCs w:val="20"/>
      </w:rPr>
    </w:lvl>
    <w:lvl w:ilvl="2" w:tplc="823A8032">
      <w:start w:val="20"/>
      <w:numFmt w:val="bullet"/>
      <w:lvlText w:val="-"/>
      <w:lvlJc w:val="left"/>
      <w:pPr>
        <w:tabs>
          <w:tab w:val="num" w:pos="1620"/>
        </w:tabs>
        <w:ind w:left="1620" w:hanging="180"/>
      </w:pPr>
      <w:rPr>
        <w:rFonts w:ascii="Bookman Old Style" w:eastAsia="Times New Roman" w:hAnsi="Bookman Old Style" w:cs="Times New Roman" w:hint="default"/>
        <w:sz w:val="23"/>
      </w:rPr>
    </w:lvl>
    <w:lvl w:ilvl="3" w:tplc="517683DE">
      <w:start w:val="1"/>
      <w:numFmt w:val="decimal"/>
      <w:lvlText w:val="%4."/>
      <w:lvlJc w:val="left"/>
      <w:pPr>
        <w:tabs>
          <w:tab w:val="num" w:pos="2340"/>
        </w:tabs>
        <w:ind w:left="2340" w:hanging="360"/>
      </w:pPr>
      <w:rPr>
        <w:b/>
      </w:rPr>
    </w:lvl>
    <w:lvl w:ilvl="4" w:tplc="823A8032">
      <w:start w:val="20"/>
      <w:numFmt w:val="bullet"/>
      <w:lvlText w:val="-"/>
      <w:lvlJc w:val="left"/>
      <w:pPr>
        <w:ind w:left="3060" w:hanging="360"/>
      </w:pPr>
      <w:rPr>
        <w:rFonts w:ascii="Bookman Old Style" w:eastAsia="Times New Roman" w:hAnsi="Bookman Old Style" w:cs="Times New Roman" w:hint="default"/>
        <w:sz w:val="23"/>
      </w:rPr>
    </w:lvl>
    <w:lvl w:ilvl="5" w:tplc="0C0A001B">
      <w:start w:val="1"/>
      <w:numFmt w:val="lowerRoman"/>
      <w:lvlText w:val="%6."/>
      <w:lvlJc w:val="right"/>
      <w:pPr>
        <w:tabs>
          <w:tab w:val="num" w:pos="3780"/>
        </w:tabs>
        <w:ind w:left="3780" w:hanging="180"/>
      </w:pPr>
    </w:lvl>
    <w:lvl w:ilvl="6" w:tplc="0C0A000F" w:tentative="1">
      <w:start w:val="1"/>
      <w:numFmt w:val="decimal"/>
      <w:lvlText w:val="%7."/>
      <w:lvlJc w:val="left"/>
      <w:pPr>
        <w:tabs>
          <w:tab w:val="num" w:pos="4500"/>
        </w:tabs>
        <w:ind w:left="4500" w:hanging="360"/>
      </w:pPr>
    </w:lvl>
    <w:lvl w:ilvl="7" w:tplc="0C0A0019" w:tentative="1">
      <w:start w:val="1"/>
      <w:numFmt w:val="lowerLetter"/>
      <w:lvlText w:val="%8."/>
      <w:lvlJc w:val="left"/>
      <w:pPr>
        <w:tabs>
          <w:tab w:val="num" w:pos="5220"/>
        </w:tabs>
        <w:ind w:left="5220" w:hanging="360"/>
      </w:pPr>
    </w:lvl>
    <w:lvl w:ilvl="8" w:tplc="0C0A001B" w:tentative="1">
      <w:start w:val="1"/>
      <w:numFmt w:val="lowerRoman"/>
      <w:lvlText w:val="%9."/>
      <w:lvlJc w:val="right"/>
      <w:pPr>
        <w:tabs>
          <w:tab w:val="num" w:pos="5940"/>
        </w:tabs>
        <w:ind w:left="5940" w:hanging="180"/>
      </w:pPr>
    </w:lvl>
  </w:abstractNum>
  <w:num w:numId="1">
    <w:abstractNumId w:val="4"/>
  </w:num>
  <w:num w:numId="2">
    <w:abstractNumId w:val="6"/>
  </w:num>
  <w:num w:numId="3">
    <w:abstractNumId w:val="1"/>
  </w:num>
  <w:num w:numId="4">
    <w:abstractNumId w:val="2"/>
  </w:num>
  <w:num w:numId="5">
    <w:abstractNumId w:val="3"/>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A5416C"/>
    <w:rsid w:val="00190E96"/>
    <w:rsid w:val="001963C2"/>
    <w:rsid w:val="00204421"/>
    <w:rsid w:val="002E06BD"/>
    <w:rsid w:val="003333F7"/>
    <w:rsid w:val="00567EB9"/>
    <w:rsid w:val="005F0E2E"/>
    <w:rsid w:val="00666927"/>
    <w:rsid w:val="00750F85"/>
    <w:rsid w:val="007D7931"/>
    <w:rsid w:val="008133C3"/>
    <w:rsid w:val="009042C5"/>
    <w:rsid w:val="00A44BDF"/>
    <w:rsid w:val="00A52AD4"/>
    <w:rsid w:val="00A5416C"/>
    <w:rsid w:val="00C948C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416C"/>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A5416C"/>
    <w:pPr>
      <w:spacing w:after="120"/>
    </w:pPr>
    <w:rPr>
      <w:sz w:val="16"/>
      <w:szCs w:val="16"/>
      <w:lang w:val="es-PE"/>
    </w:rPr>
  </w:style>
  <w:style w:type="character" w:customStyle="1" w:styleId="Textoindependiente3Car">
    <w:name w:val="Texto independiente 3 Car"/>
    <w:basedOn w:val="Fuentedeprrafopredeter"/>
    <w:link w:val="Textoindependiente3"/>
    <w:rsid w:val="00A5416C"/>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A5416C"/>
    <w:pPr>
      <w:jc w:val="both"/>
    </w:pPr>
    <w:rPr>
      <w:rFonts w:ascii="Tahoma" w:hAnsi="Tahoma"/>
      <w:sz w:val="22"/>
      <w:szCs w:val="20"/>
    </w:rPr>
  </w:style>
  <w:style w:type="paragraph" w:styleId="Prrafodelista">
    <w:name w:val="List Paragraph"/>
    <w:basedOn w:val="Normal"/>
    <w:uiPriority w:val="34"/>
    <w:qFormat/>
    <w:rsid w:val="00A5416C"/>
    <w:pPr>
      <w:widowControl w:val="0"/>
      <w:suppressAutoHyphens/>
      <w:ind w:left="708"/>
    </w:pPr>
    <w:rPr>
      <w:szCs w:val="20"/>
      <w:lang w:val="es-ES_tradnl"/>
    </w:rPr>
  </w:style>
  <w:style w:type="paragraph" w:styleId="Textonotapie">
    <w:name w:val="footnote text"/>
    <w:aliases w:val="Car,Car Car Car,Car4, Car,Car Car1,Texto nota pie1,Texto independiente1, Car4,Body Text,Texto independiente11, Car1 Car,Car1 Car, Car2 Car Car Car Car Car, Car2 Car Car, Car2 Car Car Car Car Car Car, Car2 Car1 Car, Car Car Car, Car2 Car"/>
    <w:basedOn w:val="Normal"/>
    <w:link w:val="TextonotapieCar"/>
    <w:rsid w:val="00A5416C"/>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 Car1 Car Car,Car1 Car Car, Car2 Car Car Car Car Car Car1, Car2 Car Car Car"/>
    <w:basedOn w:val="Fuentedeprrafopredeter"/>
    <w:link w:val="Textonotapie"/>
    <w:rsid w:val="00A5416C"/>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A5416C"/>
    <w:rPr>
      <w:rFonts w:cs="Times New Roman"/>
      <w:vertAlign w:val="superscript"/>
    </w:rPr>
  </w:style>
  <w:style w:type="paragraph" w:styleId="NormalWeb">
    <w:name w:val="Normal (Web)"/>
    <w:basedOn w:val="Normal"/>
    <w:rsid w:val="00A5416C"/>
    <w:pPr>
      <w:spacing w:before="100" w:beforeAutospacing="1" w:after="100" w:afterAutospacing="1"/>
    </w:pPr>
  </w:style>
  <w:style w:type="paragraph" w:styleId="Piedepgina">
    <w:name w:val="footer"/>
    <w:basedOn w:val="Normal"/>
    <w:link w:val="PiedepginaCar"/>
    <w:uiPriority w:val="99"/>
    <w:unhideWhenUsed/>
    <w:rsid w:val="00A5416C"/>
    <w:pPr>
      <w:tabs>
        <w:tab w:val="center" w:pos="4252"/>
        <w:tab w:val="right" w:pos="8504"/>
      </w:tabs>
    </w:pPr>
  </w:style>
  <w:style w:type="character" w:customStyle="1" w:styleId="PiedepginaCar">
    <w:name w:val="Pie de página Car"/>
    <w:basedOn w:val="Fuentedeprrafopredeter"/>
    <w:link w:val="Piedepgina"/>
    <w:uiPriority w:val="99"/>
    <w:rsid w:val="00A5416C"/>
    <w:rPr>
      <w:rFonts w:ascii="Times New Roman" w:eastAsia="Times New Roman" w:hAnsi="Times New Roman" w:cs="Times New Roman"/>
      <w:sz w:val="24"/>
      <w:szCs w:val="24"/>
      <w:lang w:eastAsia="es-ES"/>
    </w:rPr>
  </w:style>
  <w:style w:type="paragraph" w:styleId="Sangradetextonormal">
    <w:name w:val="Body Text Indent"/>
    <w:basedOn w:val="Normal"/>
    <w:link w:val="SangradetextonormalCar"/>
    <w:uiPriority w:val="99"/>
    <w:rsid w:val="00A5416C"/>
    <w:pPr>
      <w:spacing w:after="120"/>
      <w:ind w:left="283"/>
    </w:pPr>
  </w:style>
  <w:style w:type="character" w:customStyle="1" w:styleId="SangradetextonormalCar">
    <w:name w:val="Sangría de texto normal Car"/>
    <w:basedOn w:val="Fuentedeprrafopredeter"/>
    <w:link w:val="Sangradetextonormal"/>
    <w:uiPriority w:val="99"/>
    <w:rsid w:val="00A5416C"/>
    <w:rPr>
      <w:rFonts w:ascii="Times New Roman" w:eastAsia="Times New Roman" w:hAnsi="Times New Roman" w:cs="Times New Roman"/>
      <w:sz w:val="24"/>
      <w:szCs w:val="24"/>
      <w:lang w:eastAsia="es-ES"/>
    </w:rPr>
  </w:style>
  <w:style w:type="paragraph" w:styleId="Encabezado">
    <w:name w:val="header"/>
    <w:aliases w:val="maria,h"/>
    <w:basedOn w:val="Normal"/>
    <w:link w:val="EncabezadoCar"/>
    <w:uiPriority w:val="99"/>
    <w:unhideWhenUsed/>
    <w:rsid w:val="00A5416C"/>
    <w:pPr>
      <w:tabs>
        <w:tab w:val="center" w:pos="4252"/>
        <w:tab w:val="right" w:pos="8504"/>
      </w:tabs>
    </w:pPr>
  </w:style>
  <w:style w:type="character" w:customStyle="1" w:styleId="EncabezadoCar">
    <w:name w:val="Encabezado Car"/>
    <w:aliases w:val="maria Car,h Car"/>
    <w:basedOn w:val="Fuentedeprrafopredeter"/>
    <w:link w:val="Encabezado"/>
    <w:uiPriority w:val="99"/>
    <w:rsid w:val="00A5416C"/>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690373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9</Pages>
  <Words>3272</Words>
  <Characters>17999</Characters>
  <Application>Microsoft Office Word</Application>
  <DocSecurity>0</DocSecurity>
  <Lines>149</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jtorrico</dc:creator>
  <cp:keywords/>
  <dc:description/>
  <cp:lastModifiedBy>bcaceres</cp:lastModifiedBy>
  <cp:revision>8</cp:revision>
  <cp:lastPrinted>2011-05-19T20:31:00Z</cp:lastPrinted>
  <dcterms:created xsi:type="dcterms:W3CDTF">2011-05-18T20:27:00Z</dcterms:created>
  <dcterms:modified xsi:type="dcterms:W3CDTF">2011-06-22T14:47:00Z</dcterms:modified>
</cp:coreProperties>
</file>